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400466">
      <w:r>
        <w:rPr>
          <w:rFonts w:hint="eastAsia"/>
          <w:b/>
          <w:color w:val="000000"/>
          <w:sz w:val="30"/>
          <w:szCs w:val="30"/>
        </w:rPr>
        <w:drawing>
          <wp:anchor distT="0" distB="0" distL="114300" distR="114300" simplePos="0" relativeHeight="251659264" behindDoc="0" locked="0" layoutInCell="1" allowOverlap="1">
            <wp:simplePos x="0" y="0"/>
            <wp:positionH relativeFrom="margin">
              <wp:align>center</wp:align>
            </wp:positionH>
            <wp:positionV relativeFrom="paragraph">
              <wp:posOffset>25400</wp:posOffset>
            </wp:positionV>
            <wp:extent cx="3600450" cy="933450"/>
            <wp:effectExtent l="0" t="0" r="0" b="0"/>
            <wp:wrapTopAndBottom/>
            <wp:docPr id="3" name="图片 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jlogo"/>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600450" cy="933450"/>
                    </a:xfrm>
                    <a:prstGeom prst="rect">
                      <a:avLst/>
                    </a:prstGeom>
                    <a:noFill/>
                    <a:ln>
                      <a:noFill/>
                    </a:ln>
                  </pic:spPr>
                </pic:pic>
              </a:graphicData>
            </a:graphic>
          </wp:anchor>
        </w:drawing>
      </w:r>
    </w:p>
    <w:p w14:paraId="39A9C58B">
      <w:pPr>
        <w:spacing w:before="156" w:beforeLines="50"/>
        <w:jc w:val="center"/>
        <w:rPr>
          <w:rFonts w:ascii="隶书" w:eastAsia="隶书"/>
          <w:b/>
          <w:color w:val="000000"/>
          <w:sz w:val="44"/>
          <w:szCs w:val="44"/>
        </w:rPr>
      </w:pPr>
    </w:p>
    <w:p w14:paraId="5D8131C0">
      <w:pPr>
        <w:spacing w:before="156" w:beforeLines="50"/>
        <w:jc w:val="center"/>
        <w:rPr>
          <w:rFonts w:ascii="隶书" w:eastAsia="隶书"/>
          <w:b/>
          <w:color w:val="000000"/>
          <w:sz w:val="44"/>
          <w:szCs w:val="44"/>
        </w:rPr>
      </w:pPr>
      <w:r>
        <w:rPr>
          <w:rFonts w:hint="eastAsia" w:ascii="隶书" w:eastAsia="隶书"/>
          <w:b/>
          <w:color w:val="000000"/>
          <w:sz w:val="44"/>
          <w:szCs w:val="44"/>
          <w:lang w:val="en-US" w:eastAsia="zh-CN"/>
        </w:rPr>
        <w:t>氢能科学与技术</w:t>
      </w:r>
      <w:r>
        <w:rPr>
          <w:rFonts w:hint="eastAsia" w:ascii="隶书" w:eastAsia="隶书"/>
          <w:b/>
          <w:color w:val="000000"/>
          <w:sz w:val="44"/>
          <w:szCs w:val="44"/>
        </w:rPr>
        <w:t>论文</w:t>
      </w:r>
    </w:p>
    <w:p w14:paraId="0F1A977D">
      <w:pPr>
        <w:jc w:val="center"/>
        <w:rPr>
          <w:rFonts w:ascii="隶书" w:eastAsia="隶书"/>
          <w:b/>
          <w:color w:val="000000"/>
          <w:sz w:val="36"/>
          <w:szCs w:val="36"/>
        </w:rPr>
      </w:pPr>
      <w:r>
        <w:rPr>
          <w:rFonts w:hint="eastAsia" w:ascii="隶书" w:eastAsia="隶书"/>
          <w:b/>
          <w:color w:val="000000"/>
          <w:sz w:val="36"/>
          <w:szCs w:val="36"/>
        </w:rPr>
        <w:t xml:space="preserve"> </w:t>
      </w:r>
      <w:r>
        <w:rPr>
          <w:rFonts w:ascii="隶书" w:eastAsia="隶书"/>
          <w:b/>
          <w:color w:val="000000"/>
          <w:sz w:val="36"/>
          <w:szCs w:val="36"/>
        </w:rPr>
        <w:t>（</w:t>
      </w:r>
      <w:r>
        <w:rPr>
          <w:rFonts w:hint="eastAsia" w:ascii="隶书" w:eastAsia="隶书"/>
          <w:b/>
          <w:color w:val="000000"/>
          <w:sz w:val="36"/>
          <w:szCs w:val="36"/>
        </w:rPr>
        <w:t xml:space="preserve">课程论文） </w:t>
      </w:r>
    </w:p>
    <w:p w14:paraId="4801D9B6">
      <w:pPr>
        <w:rPr>
          <w:rFonts w:ascii="隶书" w:eastAsia="隶书"/>
          <w:b/>
          <w:color w:val="000000"/>
          <w:sz w:val="36"/>
          <w:szCs w:val="36"/>
        </w:rPr>
      </w:pPr>
    </w:p>
    <w:p w14:paraId="1B3FBE2E">
      <w:pPr>
        <w:jc w:val="center"/>
        <w:rPr>
          <w:rFonts w:eastAsia="黑体"/>
          <w:b/>
          <w:bCs/>
          <w:sz w:val="44"/>
          <w:szCs w:val="44"/>
        </w:rPr>
      </w:pPr>
      <w:r>
        <w:rPr>
          <w:rFonts w:hint="eastAsia" w:eastAsia="黑体"/>
          <w:b/>
          <w:bCs/>
          <w:sz w:val="44"/>
          <w:szCs w:val="44"/>
        </w:rPr>
        <w:t>氢基能源革命：汽车动力系统的三维跃迁与生态重构路径研究</w:t>
      </w:r>
    </w:p>
    <w:p w14:paraId="015AF20F">
      <w:pPr>
        <w:jc w:val="center"/>
        <w:rPr>
          <w:rFonts w:eastAsia="黑体"/>
          <w:b/>
          <w:bCs/>
          <w:sz w:val="44"/>
          <w:szCs w:val="44"/>
        </w:rPr>
      </w:pPr>
    </w:p>
    <w:p w14:paraId="7712477A">
      <w:pPr>
        <w:jc w:val="center"/>
        <w:rPr>
          <w:rFonts w:eastAsia="黑体"/>
          <w:b/>
          <w:bCs/>
          <w:sz w:val="44"/>
          <w:szCs w:val="44"/>
        </w:rPr>
      </w:pPr>
    </w:p>
    <w:p w14:paraId="3C29EFDC">
      <w:pPr>
        <w:jc w:val="center"/>
        <w:rPr>
          <w:rFonts w:ascii="仿宋_GB2312" w:eastAsia="仿宋_GB2312"/>
          <w:sz w:val="32"/>
          <w:szCs w:val="32"/>
        </w:rPr>
      </w:pPr>
      <w:r>
        <w:rPr>
          <w:rFonts w:hint="eastAsia" w:ascii="仿宋_GB2312" w:eastAsia="仿宋_GB2312"/>
          <w:sz w:val="32"/>
          <w:szCs w:val="32"/>
        </w:rPr>
        <w:t>姓名与学号：张恒祯2351071</w:t>
      </w:r>
    </w:p>
    <w:p w14:paraId="1980BD1D">
      <w:pPr>
        <w:jc w:val="left"/>
        <w:rPr>
          <w:rFonts w:ascii="仿宋_GB2312" w:eastAsia="仿宋_GB2312"/>
          <w:sz w:val="32"/>
          <w:szCs w:val="32"/>
        </w:rPr>
      </w:pPr>
    </w:p>
    <w:p w14:paraId="6FD59BB6">
      <w:pPr>
        <w:jc w:val="left"/>
        <w:rPr>
          <w:rFonts w:ascii="仿宋_GB2312" w:eastAsia="仿宋_GB2312"/>
          <w:sz w:val="32"/>
          <w:szCs w:val="32"/>
        </w:rPr>
      </w:pPr>
    </w:p>
    <w:p w14:paraId="189D9D1B">
      <w:pPr>
        <w:ind w:firstLine="640" w:firstLineChars="200"/>
        <w:jc w:val="left"/>
        <w:rPr>
          <w:rFonts w:ascii="仿宋_GB2312" w:eastAsia="仿宋_GB2312"/>
          <w:sz w:val="32"/>
          <w:szCs w:val="32"/>
        </w:rPr>
      </w:pPr>
      <w:r>
        <w:rPr>
          <w:rFonts w:hint="eastAsia" w:ascii="仿宋_GB2312" w:eastAsia="仿宋_GB2312"/>
          <w:sz w:val="32"/>
          <w:szCs w:val="32"/>
        </w:rPr>
        <w:t xml:space="preserve">学 </w:t>
      </w:r>
      <w:r>
        <w:rPr>
          <w:rFonts w:ascii="仿宋_GB2312" w:eastAsia="仿宋_GB2312"/>
          <w:sz w:val="32"/>
          <w:szCs w:val="32"/>
        </w:rPr>
        <w:t xml:space="preserve">  </w:t>
      </w:r>
      <w:r>
        <w:rPr>
          <w:rFonts w:hint="eastAsia" w:ascii="仿宋_GB2312" w:eastAsia="仿宋_GB2312"/>
          <w:sz w:val="32"/>
          <w:szCs w:val="32"/>
        </w:rPr>
        <w:t xml:space="preserve">   院：汽车学院</w:t>
      </w:r>
    </w:p>
    <w:p w14:paraId="4E74C6FA">
      <w:pPr>
        <w:ind w:firstLine="640" w:firstLineChars="200"/>
        <w:jc w:val="left"/>
        <w:rPr>
          <w:rFonts w:hint="default" w:ascii="仿宋_GB2312" w:eastAsia="仿宋_GB2312"/>
          <w:sz w:val="32"/>
          <w:szCs w:val="32"/>
          <w:lang w:val="en-US" w:eastAsia="zh-CN"/>
        </w:rPr>
      </w:pPr>
      <w:r>
        <w:rPr>
          <w:rFonts w:hint="eastAsia" w:ascii="仿宋_GB2312" w:eastAsia="仿宋_GB2312"/>
          <w:sz w:val="32"/>
          <w:szCs w:val="32"/>
          <w:lang w:val="en-US" w:eastAsia="zh-CN"/>
        </w:rPr>
        <w:t>课</w:t>
      </w:r>
      <w:r>
        <w:rPr>
          <w:rFonts w:hint="eastAsia" w:ascii="仿宋_GB2312" w:eastAsia="仿宋_GB2312"/>
          <w:sz w:val="32"/>
          <w:szCs w:val="32"/>
        </w:rPr>
        <w:t xml:space="preserve">   </w:t>
      </w:r>
      <w:r>
        <w:rPr>
          <w:rFonts w:ascii="仿宋_GB2312" w:eastAsia="仿宋_GB2312"/>
          <w:sz w:val="32"/>
          <w:szCs w:val="32"/>
        </w:rPr>
        <w:t xml:space="preserve">  </w:t>
      </w:r>
      <w:r>
        <w:rPr>
          <w:rFonts w:hint="eastAsia" w:ascii="仿宋_GB2312" w:eastAsia="仿宋_GB2312"/>
          <w:sz w:val="32"/>
          <w:szCs w:val="32"/>
        </w:rPr>
        <w:t xml:space="preserve"> </w:t>
      </w:r>
      <w:r>
        <w:rPr>
          <w:rFonts w:hint="eastAsia" w:ascii="仿宋_GB2312" w:eastAsia="仿宋_GB2312"/>
          <w:sz w:val="32"/>
          <w:szCs w:val="32"/>
          <w:lang w:val="en-US" w:eastAsia="zh-CN"/>
        </w:rPr>
        <w:t>名</w:t>
      </w:r>
      <w:r>
        <w:rPr>
          <w:rFonts w:hint="eastAsia" w:ascii="仿宋_GB2312" w:eastAsia="仿宋_GB2312"/>
          <w:sz w:val="32"/>
          <w:szCs w:val="32"/>
        </w:rPr>
        <w:t>：</w:t>
      </w:r>
      <w:r>
        <w:rPr>
          <w:rFonts w:hint="eastAsia" w:ascii="仿宋_GB2312" w:eastAsia="仿宋_GB2312"/>
          <w:sz w:val="32"/>
          <w:szCs w:val="32"/>
          <w:lang w:val="en-US" w:eastAsia="zh-CN"/>
        </w:rPr>
        <w:t>氢能科学与技术</w:t>
      </w:r>
    </w:p>
    <w:p w14:paraId="44E17E82">
      <w:pPr>
        <w:rPr>
          <w:rFonts w:eastAsia="仿宋_GB2312"/>
          <w:sz w:val="32"/>
        </w:rPr>
      </w:pPr>
    </w:p>
    <w:p w14:paraId="57522A57">
      <w:pPr>
        <w:rPr>
          <w:rFonts w:eastAsia="仿宋_GB2312"/>
          <w:sz w:val="32"/>
        </w:rPr>
      </w:pPr>
    </w:p>
    <w:p w14:paraId="0E3EEB98">
      <w:pPr>
        <w:jc w:val="center"/>
        <w:rPr>
          <w:rFonts w:ascii="宋体" w:hAnsi="宋体" w:cs="宋体"/>
        </w:rPr>
      </w:pPr>
      <w:r>
        <w:rPr>
          <w:rFonts w:hint="eastAsia" w:ascii="宋体" w:hAnsi="宋体"/>
          <w:sz w:val="32"/>
        </w:rPr>
        <w:t>二</w:t>
      </w:r>
      <w:r>
        <w:rPr>
          <w:rFonts w:hint="eastAsia" w:ascii="宋体" w:hAnsi="宋体" w:cs="宋体"/>
          <w:sz w:val="32"/>
        </w:rPr>
        <w:t>〇</w:t>
      </w:r>
      <w:r>
        <w:rPr>
          <w:rFonts w:hint="eastAsia" w:ascii="宋体" w:hAnsi="宋体"/>
          <w:sz w:val="32"/>
        </w:rPr>
        <w:t>二</w:t>
      </w:r>
      <w:r>
        <w:rPr>
          <w:rFonts w:hint="eastAsia" w:ascii="宋体" w:hAnsi="宋体"/>
          <w:sz w:val="32"/>
          <w:lang w:val="en-US" w:eastAsia="zh-CN"/>
        </w:rPr>
        <w:t>五</w:t>
      </w:r>
      <w:r>
        <w:rPr>
          <w:rFonts w:hint="eastAsia" w:ascii="宋体" w:hAnsi="宋体" w:cs="宋体"/>
          <w:sz w:val="32"/>
        </w:rPr>
        <w:t>年</w:t>
      </w:r>
      <w:r>
        <w:rPr>
          <w:rFonts w:hint="eastAsia" w:ascii="宋体" w:hAnsi="宋体" w:cs="宋体"/>
          <w:sz w:val="32"/>
          <w:lang w:val="en-US" w:eastAsia="zh-CN"/>
        </w:rPr>
        <w:t>六</w:t>
      </w:r>
      <w:r>
        <w:rPr>
          <w:rFonts w:hint="eastAsia" w:ascii="宋体" w:hAnsi="宋体" w:cs="宋体"/>
          <w:sz w:val="32"/>
        </w:rPr>
        <w:t>月</w:t>
      </w:r>
    </w:p>
    <w:p w14:paraId="76531FD0"/>
    <w:p w14:paraId="051CB802">
      <w:pPr>
        <w:widowControl/>
        <w:topLinePunct/>
        <w:spacing w:line="360" w:lineRule="auto"/>
        <w:jc w:val="center"/>
        <w:rPr>
          <w:rFonts w:hint="eastAsia" w:ascii="宋体" w:hAnsi="宋体" w:eastAsia="宋体"/>
          <w:b/>
          <w:sz w:val="44"/>
          <w:szCs w:val="44"/>
        </w:rPr>
      </w:pPr>
    </w:p>
    <w:p w14:paraId="0B64E0A7">
      <w:pPr>
        <w:widowControl/>
        <w:topLinePunct/>
        <w:spacing w:line="360" w:lineRule="auto"/>
        <w:jc w:val="center"/>
        <w:rPr>
          <w:rFonts w:hint="eastAsia" w:ascii="宋体" w:hAnsi="宋体" w:eastAsia="宋体"/>
          <w:b/>
          <w:sz w:val="44"/>
          <w:szCs w:val="44"/>
        </w:rPr>
      </w:pPr>
    </w:p>
    <w:p w14:paraId="73228B9C">
      <w:pPr>
        <w:widowControl/>
        <w:topLinePunct/>
        <w:spacing w:line="360" w:lineRule="auto"/>
        <w:jc w:val="center"/>
        <w:rPr>
          <w:rFonts w:hint="eastAsia" w:ascii="宋体" w:hAnsi="宋体" w:eastAsia="宋体"/>
          <w:b/>
          <w:sz w:val="44"/>
          <w:szCs w:val="44"/>
        </w:rPr>
      </w:pPr>
      <w:r>
        <w:rPr>
          <w:rFonts w:hint="eastAsia" w:ascii="宋体" w:hAnsi="宋体" w:eastAsia="宋体"/>
          <w:b/>
          <w:sz w:val="44"/>
          <w:szCs w:val="44"/>
        </w:rPr>
        <w:t>氢基能源革命：汽车动力系统的三维跃迁与生态重构路径研究</w:t>
      </w:r>
    </w:p>
    <w:p w14:paraId="6E35E2EB">
      <w:pPr>
        <w:widowControl/>
        <w:topLinePunct/>
        <w:spacing w:line="360" w:lineRule="auto"/>
        <w:jc w:val="center"/>
        <w:rPr>
          <w:rFonts w:hint="eastAsia" w:ascii="宋体" w:hAnsi="宋体" w:eastAsia="宋体"/>
          <w:b/>
          <w:sz w:val="44"/>
          <w:szCs w:val="44"/>
        </w:rPr>
      </w:pPr>
      <w:r>
        <w:rPr>
          <w:rFonts w:hint="eastAsia" w:ascii="楷体" w:hAnsi="楷体" w:eastAsia="楷体"/>
          <w:sz w:val="28"/>
          <w:szCs w:val="28"/>
          <w:lang w:val="en-US" w:eastAsia="zh-CN"/>
        </w:rPr>
        <w:t xml:space="preserve">汽车学院 大二 </w:t>
      </w:r>
      <w:r>
        <w:rPr>
          <w:rFonts w:hint="eastAsia" w:ascii="楷体" w:hAnsi="楷体" w:eastAsia="楷体"/>
          <w:sz w:val="28"/>
          <w:szCs w:val="28"/>
        </w:rPr>
        <w:t>张恒祯</w:t>
      </w:r>
    </w:p>
    <w:p w14:paraId="4F809AF8">
      <w:pPr>
        <w:widowControl/>
        <w:topLinePunct/>
        <w:spacing w:before="480" w:after="120"/>
        <w:outlineLvl w:val="1"/>
        <w:rPr>
          <w:rFonts w:hint="eastAsia" w:ascii="黑体" w:hAnsi="Times New Roman" w:eastAsia="黑体" w:cs="Times New Roman"/>
          <w:bCs/>
          <w:sz w:val="30"/>
          <w:szCs w:val="30"/>
        </w:rPr>
      </w:pPr>
      <w:bookmarkStart w:id="0" w:name="_Toc24365"/>
      <w:r>
        <w:rPr>
          <w:rFonts w:hint="eastAsia" w:ascii="黑体" w:hAnsi="Times New Roman" w:eastAsia="黑体" w:cs="Times New Roman"/>
          <w:bCs/>
          <w:sz w:val="30"/>
          <w:szCs w:val="30"/>
        </w:rPr>
        <w:t>摘要</w:t>
      </w:r>
      <w:bookmarkEnd w:id="0"/>
    </w:p>
    <w:p w14:paraId="3E517F2B">
      <w:pPr>
        <w:ind w:firstLine="420" w:firstLineChars="0"/>
        <w:rPr>
          <w:rFonts w:hint="eastAsia"/>
          <w:lang w:val="en-US" w:eastAsia="zh-CN"/>
        </w:rPr>
      </w:pPr>
      <w:r>
        <w:rPr>
          <w:rFonts w:hint="eastAsia"/>
          <w:lang w:val="en-US" w:eastAsia="zh-CN"/>
        </w:rPr>
        <w:t>面对全球交通低碳转型与能源安全双重挑战，本文提出“场景驱动型氢电互补”的汽车能源动力系统构想，通过技术适配性突破、基础设施协同布局与政策工具创新，构建符合中国资源禀赋的可持续发展路径。在重载物流、极寒交通、民生市政等场景，氢能动力系统凭借质量能量密度、-40℃冷启动能力与快速补能特性，相较纯电技术具有不可替代优势。基于山东、张家口等地的实践验证，设想了实施框架：纵向聚焦燃料电池电堆无铂化、固态储氢密度突破、绿氢制备成本降低三大技术难关；横向构建“风光氢储一体化”能源基地、跨区域输氢管网与车-站-网互动体系；这一构想旨在实现“车网双向赋能”与“区域协同分工”的有效配合，为汽车动力系统从“能源消耗终端”向“智慧能源节点”转型提供中国方案。</w:t>
      </w:r>
    </w:p>
    <w:p w14:paraId="5B724653">
      <w:pPr>
        <w:rPr>
          <w:rFonts w:hint="eastAsia"/>
          <w:lang w:val="en-US" w:eastAsia="zh-CN"/>
        </w:rPr>
      </w:pPr>
    </w:p>
    <w:p w14:paraId="16C2E3CC">
      <w:pPr>
        <w:rPr>
          <w:rFonts w:hint="eastAsia"/>
          <w:sz w:val="20"/>
          <w:szCs w:val="22"/>
          <w:lang w:val="en-US" w:eastAsia="zh-CN"/>
        </w:rPr>
      </w:pPr>
      <w:r>
        <w:rPr>
          <w:rFonts w:hint="eastAsia" w:ascii="Times New Roman" w:hAnsi="Times New Roman" w:eastAsia="宋体" w:cs="Times New Roman"/>
          <w:b/>
          <w:sz w:val="22"/>
          <w:szCs w:val="21"/>
        </w:rPr>
        <w:t>关键词：</w:t>
      </w:r>
      <w:r>
        <w:rPr>
          <w:rFonts w:hint="eastAsia" w:ascii="Times New Roman" w:hAnsi="Times New Roman" w:eastAsia="宋体" w:cs="Times New Roman"/>
          <w:sz w:val="22"/>
          <w:szCs w:val="21"/>
          <w:lang w:val="en-US" w:eastAsia="zh-CN"/>
        </w:rPr>
        <w:t>氢能源</w:t>
      </w:r>
      <w:r>
        <w:rPr>
          <w:rFonts w:hint="eastAsia" w:ascii="Times New Roman" w:hAnsi="Times New Roman" w:eastAsia="宋体" w:cs="Times New Roman"/>
          <w:sz w:val="22"/>
          <w:szCs w:val="21"/>
        </w:rPr>
        <w:t>；汽车</w:t>
      </w:r>
      <w:r>
        <w:rPr>
          <w:rFonts w:hint="eastAsia" w:ascii="Times New Roman" w:hAnsi="Times New Roman" w:eastAsia="宋体" w:cs="Times New Roman"/>
          <w:sz w:val="22"/>
          <w:szCs w:val="21"/>
          <w:lang w:val="en-US" w:eastAsia="zh-CN"/>
        </w:rPr>
        <w:t>动力</w:t>
      </w:r>
      <w:r>
        <w:rPr>
          <w:rFonts w:hint="eastAsia" w:ascii="Times New Roman" w:hAnsi="Times New Roman" w:eastAsia="宋体" w:cs="Times New Roman"/>
          <w:sz w:val="22"/>
          <w:szCs w:val="21"/>
        </w:rPr>
        <w:t>；</w:t>
      </w:r>
      <w:r>
        <w:rPr>
          <w:rFonts w:hint="eastAsia" w:ascii="Times New Roman" w:hAnsi="Times New Roman" w:eastAsia="宋体" w:cs="Times New Roman"/>
          <w:sz w:val="22"/>
          <w:szCs w:val="21"/>
          <w:lang w:val="en-US" w:eastAsia="zh-CN"/>
        </w:rPr>
        <w:t>氢能源汽车；储氢系统</w:t>
      </w:r>
      <w:r>
        <w:rPr>
          <w:rFonts w:hint="eastAsia" w:ascii="Times New Roman" w:hAnsi="Times New Roman" w:eastAsia="宋体" w:cs="Times New Roman"/>
          <w:sz w:val="22"/>
          <w:szCs w:val="21"/>
        </w:rPr>
        <w:t>；可持续发展</w:t>
      </w:r>
    </w:p>
    <w:p w14:paraId="1586830C">
      <w:pPr>
        <w:widowControl/>
        <w:topLinePunct/>
        <w:spacing w:before="480" w:after="120"/>
        <w:outlineLvl w:val="1"/>
        <w:rPr>
          <w:rFonts w:ascii="Arial" w:hAnsi="Arial" w:eastAsia="黑体" w:cs="Arial"/>
          <w:bCs/>
          <w:sz w:val="30"/>
          <w:szCs w:val="30"/>
        </w:rPr>
      </w:pPr>
      <w:bookmarkStart w:id="1" w:name="_Toc7588"/>
      <w:bookmarkStart w:id="2" w:name="_Toc1543"/>
      <w:bookmarkStart w:id="3" w:name="_Toc14795"/>
      <w:bookmarkStart w:id="4" w:name="_Toc1843"/>
      <w:bookmarkStart w:id="5" w:name="_Toc14767"/>
      <w:bookmarkStart w:id="6" w:name="_Toc3423"/>
      <w:r>
        <w:rPr>
          <w:rFonts w:ascii="Arial" w:hAnsi="Arial" w:eastAsia="黑体" w:cs="Arial"/>
          <w:bCs/>
          <w:sz w:val="30"/>
          <w:szCs w:val="30"/>
        </w:rPr>
        <w:t>ABSTRACT</w:t>
      </w:r>
      <w:bookmarkEnd w:id="1"/>
      <w:bookmarkEnd w:id="2"/>
      <w:bookmarkEnd w:id="3"/>
      <w:bookmarkEnd w:id="4"/>
      <w:bookmarkEnd w:id="5"/>
      <w:bookmarkEnd w:id="6"/>
    </w:p>
    <w:p w14:paraId="15ED5592">
      <w:pPr>
        <w:widowControl/>
        <w:topLinePunct/>
        <w:spacing w:line="400" w:lineRule="exact"/>
        <w:ind w:firstLine="550" w:firstLineChars="250"/>
        <w:jc w:val="left"/>
        <w:rPr>
          <w:rFonts w:hint="eastAsia" w:ascii="Times New Roman" w:hAnsi="Times New Roman" w:eastAsia="宋体" w:cs="Times New Roman"/>
          <w:sz w:val="22"/>
          <w:szCs w:val="21"/>
        </w:rPr>
      </w:pPr>
      <w:r>
        <w:rPr>
          <w:rFonts w:hint="eastAsia" w:ascii="Times New Roman" w:hAnsi="Times New Roman" w:eastAsia="宋体" w:cs="Times New Roman"/>
          <w:sz w:val="22"/>
          <w:szCs w:val="21"/>
        </w:rPr>
        <w:t>Facing the dual challenges of global low-carbon transition and energy security, this study proposes a scenario-driven hydrogen-electric synergy framework for future automotive powertrains. By overcoming critical technical barriers, constructing cross-regional infrastructure, and innovating policy tools, the system leverages hydrogen's advantages in mass energy density, extreme-temperature adaptability, and rapid refueling for heavy-duty logistics and specialized mobility scenarios. Empirical validations through regional pilot projects demonstrate how integrated energy networks and smart policy design enable vehicles to transition from passive energy consumers to active grid-interactive nodes. This China-centric solution pioneers a collaborative paradigm where renewable hydrogen production, demand-driven infrastructure, and carbon-aware governance converge, charting a scalable pathway toward carbon-neutral mobility ecosystems.</w:t>
      </w:r>
    </w:p>
    <w:p w14:paraId="5D963F32">
      <w:pPr>
        <w:widowControl/>
        <w:topLinePunct/>
        <w:spacing w:line="400" w:lineRule="exact"/>
        <w:ind w:firstLine="550" w:firstLineChars="250"/>
        <w:jc w:val="left"/>
        <w:rPr>
          <w:rFonts w:hint="eastAsia" w:ascii="Times New Roman" w:hAnsi="Times New Roman" w:eastAsia="宋体" w:cs="Times New Roman"/>
          <w:sz w:val="22"/>
          <w:szCs w:val="21"/>
        </w:rPr>
      </w:pPr>
    </w:p>
    <w:p w14:paraId="3AE7C736">
      <w:pPr>
        <w:widowControl/>
        <w:topLinePunct/>
        <w:spacing w:line="400" w:lineRule="exact"/>
        <w:jc w:val="left"/>
        <w:rPr>
          <w:rFonts w:hint="eastAsia" w:ascii="Times New Roman" w:hAnsi="Times New Roman" w:eastAsia="宋体" w:cs="Times New Roman"/>
          <w:sz w:val="22"/>
          <w:szCs w:val="21"/>
        </w:rPr>
      </w:pPr>
      <w:r>
        <w:rPr>
          <w:rFonts w:ascii="Times New Roman" w:hAnsi="Times New Roman" w:eastAsia="宋体" w:cs="Times New Roman"/>
          <w:b/>
          <w:sz w:val="22"/>
          <w:szCs w:val="22"/>
        </w:rPr>
        <w:t>Keywords:</w:t>
      </w:r>
      <w:r>
        <w:rPr>
          <w:rFonts w:hint="eastAsia" w:ascii="Times New Roman" w:hAnsi="Times New Roman" w:eastAsia="宋体" w:cs="Times New Roman"/>
          <w:b/>
          <w:sz w:val="22"/>
          <w:szCs w:val="22"/>
          <w:lang w:val="en-US" w:eastAsia="zh-CN"/>
        </w:rPr>
        <w:t xml:space="preserve"> </w:t>
      </w:r>
      <w:r>
        <w:rPr>
          <w:rFonts w:ascii="Times New Roman" w:hAnsi="Times New Roman" w:eastAsia="宋体" w:cs="Times New Roman"/>
          <w:b w:val="0"/>
          <w:bCs/>
          <w:sz w:val="22"/>
          <w:szCs w:val="22"/>
        </w:rPr>
        <w:t>Hydrogen Energy; Automotive Powertrain; Hydrogen Fuel Cell Vehicles; Hydrogen Storage Systems; Sustainable Development</w:t>
      </w:r>
    </w:p>
    <w:sdt>
      <w:sdtPr>
        <w:rPr>
          <w:rFonts w:ascii="宋体" w:hAnsi="宋体" w:eastAsia="宋体"/>
        </w:rPr>
        <w:id w:val="147458346"/>
        <w15:color w:val="DBDBDB"/>
        <w:docPartObj>
          <w:docPartGallery w:val="Table of Contents"/>
          <w:docPartUnique/>
        </w:docPartObj>
      </w:sdtPr>
      <w:sdtEndPr>
        <w:rPr>
          <w:rFonts w:hint="eastAsia" w:eastAsia="宋体" w:asciiTheme="minorHAnsi" w:hAnsiTheme="minorHAnsi"/>
          <w:highlight w:val="green"/>
        </w:rPr>
      </w:sdtEndPr>
      <w:sdtContent>
        <w:p w14:paraId="4C317216">
          <w:pPr>
            <w:widowControl/>
            <w:topLinePunct/>
            <w:spacing w:line="400" w:lineRule="exact"/>
            <w:ind w:left="945" w:leftChars="0" w:hanging="945" w:hangingChars="450"/>
            <w:jc w:val="left"/>
            <w:rPr>
              <w:rFonts w:ascii="宋体" w:hAnsi="宋体" w:eastAsia="宋体"/>
            </w:rPr>
          </w:pPr>
        </w:p>
        <w:p w14:paraId="0C8D2284">
          <w:pPr>
            <w:jc w:val="center"/>
            <w:rPr>
              <w:b/>
              <w:bCs/>
              <w:sz w:val="32"/>
              <w:szCs w:val="32"/>
            </w:rPr>
          </w:pPr>
          <w:r>
            <w:rPr>
              <w:rFonts w:ascii="宋体" w:hAnsi="宋体" w:eastAsia="宋体"/>
              <w:b/>
              <w:bCs/>
              <w:sz w:val="32"/>
              <w:szCs w:val="32"/>
            </w:rPr>
            <w:t>目录</w:t>
          </w:r>
        </w:p>
        <w:p w14:paraId="215E6457">
          <w:pPr>
            <w:pStyle w:val="6"/>
            <w:tabs>
              <w:tab w:val="right" w:leader="dot" w:pos="8306"/>
            </w:tabs>
            <w:rPr>
              <w:sz w:val="28"/>
              <w:szCs w:val="28"/>
            </w:rPr>
          </w:pPr>
          <w:r>
            <w:rPr>
              <w:rFonts w:hint="eastAsia" w:eastAsia="宋体"/>
              <w:sz w:val="24"/>
              <w:szCs w:val="24"/>
              <w:highlight w:val="green"/>
            </w:rPr>
            <w:fldChar w:fldCharType="begin"/>
          </w:r>
          <w:r>
            <w:rPr>
              <w:rFonts w:hint="eastAsia" w:eastAsia="宋体"/>
              <w:sz w:val="24"/>
              <w:szCs w:val="24"/>
              <w:highlight w:val="green"/>
            </w:rPr>
            <w:instrText xml:space="preserve">TOC \o "1-3" \h \u </w:instrText>
          </w:r>
          <w:r>
            <w:rPr>
              <w:rFonts w:hint="eastAsia" w:eastAsia="宋体"/>
              <w:sz w:val="24"/>
              <w:szCs w:val="24"/>
              <w:highlight w:val="green"/>
            </w:rPr>
            <w:fldChar w:fldCharType="separate"/>
          </w:r>
          <w:r>
            <w:rPr>
              <w:rFonts w:hint="eastAsia" w:eastAsia="宋体"/>
              <w:sz w:val="28"/>
              <w:szCs w:val="28"/>
              <w:highlight w:val="green"/>
            </w:rPr>
            <w:fldChar w:fldCharType="begin"/>
          </w:r>
          <w:r>
            <w:rPr>
              <w:rFonts w:hint="eastAsia" w:eastAsia="宋体"/>
              <w:sz w:val="28"/>
              <w:szCs w:val="28"/>
              <w:highlight w:val="green"/>
            </w:rPr>
            <w:instrText xml:space="preserve"> HYPERLINK \l _Toc24365 </w:instrText>
          </w:r>
          <w:r>
            <w:rPr>
              <w:rFonts w:hint="eastAsia" w:eastAsia="宋体"/>
              <w:sz w:val="28"/>
              <w:szCs w:val="28"/>
              <w:highlight w:val="green"/>
            </w:rPr>
            <w:fldChar w:fldCharType="separate"/>
          </w:r>
          <w:r>
            <w:rPr>
              <w:rFonts w:hint="eastAsia" w:ascii="黑体" w:hAnsi="Times New Roman" w:eastAsia="黑体" w:cs="Times New Roman"/>
              <w:bCs/>
              <w:sz w:val="28"/>
              <w:szCs w:val="28"/>
            </w:rPr>
            <w:t>摘要</w:t>
          </w:r>
          <w:r>
            <w:rPr>
              <w:sz w:val="28"/>
              <w:szCs w:val="28"/>
            </w:rPr>
            <w:tab/>
          </w:r>
          <w:r>
            <w:rPr>
              <w:sz w:val="28"/>
              <w:szCs w:val="28"/>
            </w:rPr>
            <w:fldChar w:fldCharType="begin"/>
          </w:r>
          <w:r>
            <w:rPr>
              <w:sz w:val="28"/>
              <w:szCs w:val="28"/>
            </w:rPr>
            <w:instrText xml:space="preserve"> PAGEREF _Toc24365 \h </w:instrText>
          </w:r>
          <w:r>
            <w:rPr>
              <w:sz w:val="28"/>
              <w:szCs w:val="28"/>
            </w:rPr>
            <w:fldChar w:fldCharType="separate"/>
          </w:r>
          <w:r>
            <w:rPr>
              <w:sz w:val="28"/>
              <w:szCs w:val="28"/>
            </w:rPr>
            <w:t>2</w:t>
          </w:r>
          <w:r>
            <w:rPr>
              <w:sz w:val="28"/>
              <w:szCs w:val="28"/>
            </w:rPr>
            <w:fldChar w:fldCharType="end"/>
          </w:r>
          <w:r>
            <w:rPr>
              <w:rFonts w:hint="eastAsia" w:eastAsia="宋体"/>
              <w:sz w:val="28"/>
              <w:szCs w:val="28"/>
              <w:highlight w:val="green"/>
            </w:rPr>
            <w:fldChar w:fldCharType="end"/>
          </w:r>
        </w:p>
        <w:p w14:paraId="0EA5F625">
          <w:pPr>
            <w:pStyle w:val="6"/>
            <w:tabs>
              <w:tab w:val="right" w:leader="dot" w:pos="8306"/>
            </w:tabs>
            <w:rPr>
              <w:sz w:val="28"/>
              <w:szCs w:val="28"/>
            </w:rPr>
          </w:pPr>
          <w:r>
            <w:rPr>
              <w:rFonts w:hint="eastAsia" w:eastAsia="宋体"/>
              <w:sz w:val="28"/>
              <w:szCs w:val="28"/>
              <w:highlight w:val="green"/>
            </w:rPr>
            <w:fldChar w:fldCharType="begin"/>
          </w:r>
          <w:r>
            <w:rPr>
              <w:rFonts w:hint="eastAsia" w:eastAsia="宋体"/>
              <w:sz w:val="28"/>
              <w:szCs w:val="28"/>
              <w:highlight w:val="green"/>
            </w:rPr>
            <w:instrText xml:space="preserve"> HYPERLINK \l _Toc18922 </w:instrText>
          </w:r>
          <w:r>
            <w:rPr>
              <w:rFonts w:hint="eastAsia" w:eastAsia="宋体"/>
              <w:sz w:val="28"/>
              <w:szCs w:val="28"/>
              <w:highlight w:val="green"/>
            </w:rPr>
            <w:fldChar w:fldCharType="separate"/>
          </w:r>
          <w:r>
            <w:rPr>
              <w:rFonts w:hint="eastAsia" w:ascii="黑体" w:hAnsi="Times New Roman" w:eastAsia="黑体" w:cs="Times New Roman"/>
              <w:bCs/>
              <w:sz w:val="28"/>
              <w:szCs w:val="28"/>
            </w:rPr>
            <w:t>一、引言</w:t>
          </w:r>
          <w:r>
            <w:rPr>
              <w:sz w:val="28"/>
              <w:szCs w:val="28"/>
            </w:rPr>
            <w:tab/>
          </w:r>
          <w:r>
            <w:rPr>
              <w:sz w:val="28"/>
              <w:szCs w:val="28"/>
            </w:rPr>
            <w:fldChar w:fldCharType="begin"/>
          </w:r>
          <w:r>
            <w:rPr>
              <w:sz w:val="28"/>
              <w:szCs w:val="28"/>
            </w:rPr>
            <w:instrText xml:space="preserve"> PAGEREF _Toc18922 \h </w:instrText>
          </w:r>
          <w:r>
            <w:rPr>
              <w:sz w:val="28"/>
              <w:szCs w:val="28"/>
            </w:rPr>
            <w:fldChar w:fldCharType="separate"/>
          </w:r>
          <w:r>
            <w:rPr>
              <w:sz w:val="28"/>
              <w:szCs w:val="28"/>
            </w:rPr>
            <w:t>6</w:t>
          </w:r>
          <w:r>
            <w:rPr>
              <w:sz w:val="28"/>
              <w:szCs w:val="28"/>
            </w:rPr>
            <w:fldChar w:fldCharType="end"/>
          </w:r>
          <w:r>
            <w:rPr>
              <w:rFonts w:hint="eastAsia" w:eastAsia="宋体"/>
              <w:sz w:val="28"/>
              <w:szCs w:val="28"/>
              <w:highlight w:val="green"/>
            </w:rPr>
            <w:fldChar w:fldCharType="end"/>
          </w:r>
        </w:p>
        <w:p w14:paraId="4A306619">
          <w:pPr>
            <w:pStyle w:val="6"/>
            <w:tabs>
              <w:tab w:val="right" w:leader="dot" w:pos="8306"/>
            </w:tabs>
            <w:rPr>
              <w:sz w:val="28"/>
              <w:szCs w:val="28"/>
            </w:rPr>
          </w:pPr>
          <w:r>
            <w:rPr>
              <w:rFonts w:hint="eastAsia" w:eastAsia="宋体"/>
              <w:sz w:val="28"/>
              <w:szCs w:val="28"/>
              <w:highlight w:val="green"/>
            </w:rPr>
            <w:fldChar w:fldCharType="begin"/>
          </w:r>
          <w:r>
            <w:rPr>
              <w:rFonts w:hint="eastAsia" w:eastAsia="宋体"/>
              <w:sz w:val="28"/>
              <w:szCs w:val="28"/>
              <w:highlight w:val="green"/>
            </w:rPr>
            <w:instrText xml:space="preserve"> HYPERLINK \l _Toc6744 </w:instrText>
          </w:r>
          <w:r>
            <w:rPr>
              <w:rFonts w:hint="eastAsia" w:eastAsia="宋体"/>
              <w:sz w:val="28"/>
              <w:szCs w:val="28"/>
              <w:highlight w:val="green"/>
            </w:rPr>
            <w:fldChar w:fldCharType="separate"/>
          </w:r>
          <w:r>
            <w:rPr>
              <w:rFonts w:hint="eastAsia" w:ascii="黑体" w:hAnsi="Times New Roman" w:eastAsia="黑体" w:cs="Times New Roman"/>
              <w:bCs/>
              <w:sz w:val="28"/>
              <w:szCs w:val="28"/>
              <w:lang w:val="en-US" w:eastAsia="zh-CN"/>
            </w:rPr>
            <w:t>二、文献综述</w:t>
          </w:r>
          <w:r>
            <w:rPr>
              <w:sz w:val="28"/>
              <w:szCs w:val="28"/>
            </w:rPr>
            <w:tab/>
          </w:r>
          <w:r>
            <w:rPr>
              <w:sz w:val="28"/>
              <w:szCs w:val="28"/>
            </w:rPr>
            <w:fldChar w:fldCharType="begin"/>
          </w:r>
          <w:r>
            <w:rPr>
              <w:sz w:val="28"/>
              <w:szCs w:val="28"/>
            </w:rPr>
            <w:instrText xml:space="preserve"> PAGEREF _Toc6744 \h </w:instrText>
          </w:r>
          <w:r>
            <w:rPr>
              <w:sz w:val="28"/>
              <w:szCs w:val="28"/>
            </w:rPr>
            <w:fldChar w:fldCharType="separate"/>
          </w:r>
          <w:r>
            <w:rPr>
              <w:sz w:val="28"/>
              <w:szCs w:val="28"/>
            </w:rPr>
            <w:t>7</w:t>
          </w:r>
          <w:r>
            <w:rPr>
              <w:sz w:val="28"/>
              <w:szCs w:val="28"/>
            </w:rPr>
            <w:fldChar w:fldCharType="end"/>
          </w:r>
          <w:r>
            <w:rPr>
              <w:rFonts w:hint="eastAsia" w:eastAsia="宋体"/>
              <w:sz w:val="28"/>
              <w:szCs w:val="28"/>
              <w:highlight w:val="green"/>
            </w:rPr>
            <w:fldChar w:fldCharType="end"/>
          </w:r>
        </w:p>
        <w:p w14:paraId="437A159D">
          <w:pPr>
            <w:pStyle w:val="6"/>
            <w:tabs>
              <w:tab w:val="right" w:leader="dot" w:pos="8306"/>
            </w:tabs>
          </w:pPr>
          <w:r>
            <w:rPr>
              <w:rFonts w:hint="eastAsia" w:eastAsia="宋体"/>
              <w:sz w:val="28"/>
              <w:szCs w:val="28"/>
              <w:highlight w:val="green"/>
            </w:rPr>
            <w:fldChar w:fldCharType="begin"/>
          </w:r>
          <w:r>
            <w:rPr>
              <w:rFonts w:hint="eastAsia" w:eastAsia="宋体"/>
              <w:sz w:val="28"/>
              <w:szCs w:val="28"/>
              <w:highlight w:val="green"/>
            </w:rPr>
            <w:instrText xml:space="preserve"> HYPERLINK \l _Toc17550 </w:instrText>
          </w:r>
          <w:r>
            <w:rPr>
              <w:rFonts w:hint="eastAsia" w:eastAsia="宋体"/>
              <w:sz w:val="28"/>
              <w:szCs w:val="28"/>
              <w:highlight w:val="green"/>
            </w:rPr>
            <w:fldChar w:fldCharType="separate"/>
          </w:r>
          <w:r>
            <w:rPr>
              <w:rFonts w:hint="default" w:ascii="黑体" w:hAnsi="Times New Roman" w:eastAsia="黑体" w:cs="Times New Roman"/>
              <w:bCs/>
              <w:sz w:val="28"/>
              <w:szCs w:val="28"/>
              <w:lang w:val="en-US" w:eastAsia="zh-CN"/>
            </w:rPr>
            <w:t>三、分析框架构建：氢基能源革命的系统变革维度</w:t>
          </w:r>
          <w:r>
            <w:rPr>
              <w:sz w:val="28"/>
              <w:szCs w:val="28"/>
            </w:rPr>
            <w:tab/>
          </w:r>
          <w:r>
            <w:rPr>
              <w:sz w:val="28"/>
              <w:szCs w:val="28"/>
            </w:rPr>
            <w:fldChar w:fldCharType="begin"/>
          </w:r>
          <w:r>
            <w:rPr>
              <w:sz w:val="28"/>
              <w:szCs w:val="28"/>
            </w:rPr>
            <w:instrText xml:space="preserve"> PAGEREF _Toc17550 \h </w:instrText>
          </w:r>
          <w:r>
            <w:rPr>
              <w:sz w:val="28"/>
              <w:szCs w:val="28"/>
            </w:rPr>
            <w:fldChar w:fldCharType="separate"/>
          </w:r>
          <w:r>
            <w:rPr>
              <w:sz w:val="28"/>
              <w:szCs w:val="28"/>
            </w:rPr>
            <w:t>8</w:t>
          </w:r>
          <w:r>
            <w:rPr>
              <w:sz w:val="28"/>
              <w:szCs w:val="28"/>
            </w:rPr>
            <w:fldChar w:fldCharType="end"/>
          </w:r>
          <w:r>
            <w:rPr>
              <w:rFonts w:hint="eastAsia" w:eastAsia="宋体"/>
              <w:sz w:val="28"/>
              <w:szCs w:val="28"/>
              <w:highlight w:val="green"/>
            </w:rPr>
            <w:fldChar w:fldCharType="end"/>
          </w:r>
        </w:p>
        <w:p w14:paraId="7B30287B">
          <w:pPr>
            <w:pStyle w:val="5"/>
            <w:tabs>
              <w:tab w:val="right" w:leader="dot" w:pos="8306"/>
            </w:tabs>
            <w:rPr>
              <w:sz w:val="24"/>
              <w:szCs w:val="24"/>
            </w:rPr>
          </w:pPr>
          <w:r>
            <w:rPr>
              <w:rFonts w:hint="eastAsia" w:eastAsia="宋体"/>
              <w:sz w:val="24"/>
              <w:szCs w:val="24"/>
              <w:highlight w:val="green"/>
            </w:rPr>
            <w:fldChar w:fldCharType="begin"/>
          </w:r>
          <w:r>
            <w:rPr>
              <w:rFonts w:hint="eastAsia" w:eastAsia="宋体"/>
              <w:sz w:val="24"/>
              <w:szCs w:val="24"/>
              <w:highlight w:val="green"/>
            </w:rPr>
            <w:instrText xml:space="preserve"> HYPERLINK \l _Toc10843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3.1 技术代际跃迁：从热机范式到电化学体系的动力重构</w:t>
          </w:r>
          <w:r>
            <w:rPr>
              <w:sz w:val="24"/>
              <w:szCs w:val="24"/>
            </w:rPr>
            <w:tab/>
          </w:r>
          <w:r>
            <w:rPr>
              <w:sz w:val="24"/>
              <w:szCs w:val="24"/>
            </w:rPr>
            <w:fldChar w:fldCharType="begin"/>
          </w:r>
          <w:r>
            <w:rPr>
              <w:sz w:val="24"/>
              <w:szCs w:val="24"/>
            </w:rPr>
            <w:instrText xml:space="preserve"> PAGEREF _Toc10843 \h </w:instrText>
          </w:r>
          <w:r>
            <w:rPr>
              <w:sz w:val="24"/>
              <w:szCs w:val="24"/>
            </w:rPr>
            <w:fldChar w:fldCharType="separate"/>
          </w:r>
          <w:r>
            <w:rPr>
              <w:sz w:val="24"/>
              <w:szCs w:val="24"/>
            </w:rPr>
            <w:t>8</w:t>
          </w:r>
          <w:r>
            <w:rPr>
              <w:sz w:val="24"/>
              <w:szCs w:val="24"/>
            </w:rPr>
            <w:fldChar w:fldCharType="end"/>
          </w:r>
          <w:r>
            <w:rPr>
              <w:rFonts w:hint="eastAsia" w:eastAsia="宋体"/>
              <w:sz w:val="24"/>
              <w:szCs w:val="24"/>
              <w:highlight w:val="green"/>
            </w:rPr>
            <w:fldChar w:fldCharType="end"/>
          </w:r>
        </w:p>
        <w:p w14:paraId="4B4CC0D0">
          <w:pPr>
            <w:pStyle w:val="5"/>
            <w:tabs>
              <w:tab w:val="right" w:leader="dot" w:pos="8306"/>
            </w:tabs>
          </w:pPr>
          <w:r>
            <w:rPr>
              <w:rFonts w:hint="eastAsia" w:eastAsia="宋体"/>
              <w:sz w:val="24"/>
              <w:szCs w:val="24"/>
              <w:highlight w:val="green"/>
            </w:rPr>
            <w:fldChar w:fldCharType="begin"/>
          </w:r>
          <w:r>
            <w:rPr>
              <w:rFonts w:hint="eastAsia" w:eastAsia="宋体"/>
              <w:sz w:val="24"/>
              <w:szCs w:val="24"/>
              <w:highlight w:val="green"/>
            </w:rPr>
            <w:instrText xml:space="preserve"> HYPERLINK \l _Toc26332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3.2 产业生态重构：能源网络与交通载体的协同进化</w:t>
          </w:r>
          <w:r>
            <w:rPr>
              <w:sz w:val="24"/>
              <w:szCs w:val="24"/>
            </w:rPr>
            <w:tab/>
          </w:r>
          <w:r>
            <w:rPr>
              <w:sz w:val="24"/>
              <w:szCs w:val="24"/>
            </w:rPr>
            <w:fldChar w:fldCharType="begin"/>
          </w:r>
          <w:r>
            <w:rPr>
              <w:sz w:val="24"/>
              <w:szCs w:val="24"/>
            </w:rPr>
            <w:instrText xml:space="preserve"> PAGEREF _Toc26332 \h </w:instrText>
          </w:r>
          <w:r>
            <w:rPr>
              <w:sz w:val="24"/>
              <w:szCs w:val="24"/>
            </w:rPr>
            <w:fldChar w:fldCharType="separate"/>
          </w:r>
          <w:r>
            <w:rPr>
              <w:sz w:val="24"/>
              <w:szCs w:val="24"/>
            </w:rPr>
            <w:t>10</w:t>
          </w:r>
          <w:r>
            <w:rPr>
              <w:sz w:val="24"/>
              <w:szCs w:val="24"/>
            </w:rPr>
            <w:fldChar w:fldCharType="end"/>
          </w:r>
          <w:r>
            <w:rPr>
              <w:rFonts w:hint="eastAsia" w:eastAsia="宋体"/>
              <w:sz w:val="24"/>
              <w:szCs w:val="24"/>
              <w:highlight w:val="green"/>
            </w:rPr>
            <w:fldChar w:fldCharType="end"/>
          </w:r>
        </w:p>
        <w:p w14:paraId="3371796D">
          <w:pPr>
            <w:pStyle w:val="6"/>
            <w:tabs>
              <w:tab w:val="right" w:leader="dot" w:pos="8306"/>
            </w:tabs>
          </w:pPr>
          <w:r>
            <w:rPr>
              <w:rFonts w:hint="eastAsia" w:eastAsia="宋体"/>
              <w:sz w:val="28"/>
              <w:szCs w:val="28"/>
              <w:highlight w:val="green"/>
            </w:rPr>
            <w:fldChar w:fldCharType="begin"/>
          </w:r>
          <w:r>
            <w:rPr>
              <w:rFonts w:hint="eastAsia" w:eastAsia="宋体"/>
              <w:sz w:val="28"/>
              <w:szCs w:val="28"/>
              <w:highlight w:val="green"/>
            </w:rPr>
            <w:instrText xml:space="preserve"> HYPERLINK \l _Toc22030 </w:instrText>
          </w:r>
          <w:r>
            <w:rPr>
              <w:rFonts w:hint="eastAsia" w:eastAsia="宋体"/>
              <w:sz w:val="28"/>
              <w:szCs w:val="28"/>
              <w:highlight w:val="green"/>
            </w:rPr>
            <w:fldChar w:fldCharType="separate"/>
          </w:r>
          <w:r>
            <w:rPr>
              <w:rFonts w:hint="default" w:ascii="黑体" w:hAnsi="Times New Roman" w:eastAsia="黑体" w:cs="Times New Roman"/>
              <w:bCs/>
              <w:sz w:val="28"/>
              <w:szCs w:val="28"/>
              <w:lang w:val="en-US" w:eastAsia="zh-CN"/>
            </w:rPr>
            <w:t>四、三维跃迁路径：技术-产业-制度的协同突破</w:t>
          </w:r>
          <w:r>
            <w:rPr>
              <w:sz w:val="28"/>
              <w:szCs w:val="28"/>
            </w:rPr>
            <w:tab/>
          </w:r>
          <w:r>
            <w:rPr>
              <w:sz w:val="28"/>
              <w:szCs w:val="28"/>
            </w:rPr>
            <w:fldChar w:fldCharType="begin"/>
          </w:r>
          <w:r>
            <w:rPr>
              <w:sz w:val="28"/>
              <w:szCs w:val="28"/>
            </w:rPr>
            <w:instrText xml:space="preserve"> PAGEREF _Toc22030 \h </w:instrText>
          </w:r>
          <w:r>
            <w:rPr>
              <w:sz w:val="28"/>
              <w:szCs w:val="28"/>
            </w:rPr>
            <w:fldChar w:fldCharType="separate"/>
          </w:r>
          <w:r>
            <w:rPr>
              <w:sz w:val="28"/>
              <w:szCs w:val="28"/>
            </w:rPr>
            <w:t>11</w:t>
          </w:r>
          <w:r>
            <w:rPr>
              <w:sz w:val="28"/>
              <w:szCs w:val="28"/>
            </w:rPr>
            <w:fldChar w:fldCharType="end"/>
          </w:r>
          <w:r>
            <w:rPr>
              <w:rFonts w:hint="eastAsia" w:eastAsia="宋体"/>
              <w:sz w:val="28"/>
              <w:szCs w:val="28"/>
              <w:highlight w:val="green"/>
            </w:rPr>
            <w:fldChar w:fldCharType="end"/>
          </w:r>
        </w:p>
        <w:p w14:paraId="0AC15F5D">
          <w:pPr>
            <w:pStyle w:val="5"/>
            <w:tabs>
              <w:tab w:val="right" w:leader="dot" w:pos="8306"/>
            </w:tabs>
            <w:rPr>
              <w:rFonts w:hint="eastAsia" w:eastAsia="宋体"/>
              <w:sz w:val="24"/>
              <w:szCs w:val="24"/>
              <w:highlight w:val="green"/>
            </w:rPr>
          </w:pPr>
          <w:r>
            <w:rPr>
              <w:rFonts w:hint="eastAsia" w:eastAsia="宋体"/>
              <w:sz w:val="24"/>
              <w:szCs w:val="24"/>
              <w:highlight w:val="green"/>
            </w:rPr>
            <w:fldChar w:fldCharType="begin"/>
          </w:r>
          <w:r>
            <w:rPr>
              <w:rFonts w:hint="eastAsia" w:eastAsia="宋体"/>
              <w:sz w:val="24"/>
              <w:szCs w:val="24"/>
              <w:highlight w:val="green"/>
            </w:rPr>
            <w:instrText xml:space="preserve"> HYPERLINK \l _Toc3847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4.1 技术代际跃迁的突破路径</w:t>
          </w:r>
          <w:r>
            <w:rPr>
              <w:sz w:val="24"/>
              <w:szCs w:val="24"/>
            </w:rPr>
            <w:tab/>
          </w:r>
          <w:r>
            <w:rPr>
              <w:sz w:val="24"/>
              <w:szCs w:val="24"/>
            </w:rPr>
            <w:fldChar w:fldCharType="begin"/>
          </w:r>
          <w:r>
            <w:rPr>
              <w:sz w:val="24"/>
              <w:szCs w:val="24"/>
            </w:rPr>
            <w:instrText xml:space="preserve"> PAGEREF _Toc3847 \h </w:instrText>
          </w:r>
          <w:r>
            <w:rPr>
              <w:sz w:val="24"/>
              <w:szCs w:val="24"/>
            </w:rPr>
            <w:fldChar w:fldCharType="separate"/>
          </w:r>
          <w:r>
            <w:rPr>
              <w:sz w:val="24"/>
              <w:szCs w:val="24"/>
            </w:rPr>
            <w:t>11</w:t>
          </w:r>
          <w:r>
            <w:rPr>
              <w:sz w:val="24"/>
              <w:szCs w:val="24"/>
            </w:rPr>
            <w:fldChar w:fldCharType="end"/>
          </w:r>
          <w:r>
            <w:rPr>
              <w:rFonts w:hint="eastAsia" w:eastAsia="宋体"/>
              <w:sz w:val="24"/>
              <w:szCs w:val="24"/>
              <w:highlight w:val="green"/>
            </w:rPr>
            <w:fldChar w:fldCharType="end"/>
          </w:r>
        </w:p>
        <w:p w14:paraId="462C0C2A">
          <w:pPr>
            <w:pStyle w:val="5"/>
            <w:tabs>
              <w:tab w:val="right" w:leader="dot" w:pos="8306"/>
            </w:tabs>
            <w:rPr>
              <w:rFonts w:hint="default" w:eastAsiaTheme="minorEastAsia"/>
              <w:sz w:val="24"/>
              <w:szCs w:val="24"/>
              <w:highlight w:val="none"/>
              <w:lang w:val="en-US" w:eastAsia="zh-CN"/>
            </w:rPr>
          </w:pPr>
          <w:r>
            <w:rPr>
              <w:rFonts w:hint="eastAsia" w:ascii="黑体" w:hAnsi="Times New Roman" w:eastAsia="黑体" w:cs="Times New Roman"/>
              <w:bCs/>
              <w:sz w:val="24"/>
              <w:szCs w:val="24"/>
              <w:lang w:val="en-US" w:eastAsia="zh-CN"/>
            </w:rPr>
            <w:t>4.2 产业生态重构的演进逻辑</w:t>
          </w:r>
          <w:r>
            <w:rPr>
              <w:sz w:val="24"/>
              <w:szCs w:val="24"/>
            </w:rPr>
            <w:tab/>
          </w:r>
          <w:r>
            <w:rPr>
              <w:rFonts w:hint="eastAsia"/>
              <w:sz w:val="24"/>
              <w:szCs w:val="24"/>
              <w:lang w:val="en-US" w:eastAsia="zh-CN"/>
            </w:rPr>
            <w:t>12</w:t>
          </w:r>
        </w:p>
        <w:p w14:paraId="40210A1F">
          <w:pPr>
            <w:pStyle w:val="6"/>
            <w:tabs>
              <w:tab w:val="right" w:leader="dot" w:pos="8306"/>
            </w:tabs>
          </w:pPr>
          <w:r>
            <w:rPr>
              <w:rFonts w:hint="eastAsia" w:eastAsia="宋体"/>
              <w:sz w:val="28"/>
              <w:szCs w:val="28"/>
              <w:highlight w:val="green"/>
            </w:rPr>
            <w:fldChar w:fldCharType="begin"/>
          </w:r>
          <w:r>
            <w:rPr>
              <w:rFonts w:hint="eastAsia" w:eastAsia="宋体"/>
              <w:sz w:val="28"/>
              <w:szCs w:val="28"/>
              <w:highlight w:val="green"/>
            </w:rPr>
            <w:instrText xml:space="preserve"> HYPERLINK \l _Toc12895 </w:instrText>
          </w:r>
          <w:r>
            <w:rPr>
              <w:rFonts w:hint="eastAsia" w:eastAsia="宋体"/>
              <w:sz w:val="28"/>
              <w:szCs w:val="28"/>
              <w:highlight w:val="green"/>
            </w:rPr>
            <w:fldChar w:fldCharType="separate"/>
          </w:r>
          <w:r>
            <w:rPr>
              <w:rFonts w:hint="default" w:ascii="黑体" w:hAnsi="Times New Roman" w:eastAsia="黑体" w:cs="Times New Roman"/>
              <w:bCs/>
              <w:sz w:val="28"/>
              <w:szCs w:val="28"/>
              <w:lang w:val="en-US" w:eastAsia="zh-CN"/>
            </w:rPr>
            <w:t>五、生态重构路径：汽车产业的价值链重塑</w:t>
          </w:r>
          <w:r>
            <w:rPr>
              <w:sz w:val="28"/>
              <w:szCs w:val="28"/>
            </w:rPr>
            <w:tab/>
          </w:r>
          <w:r>
            <w:rPr>
              <w:sz w:val="28"/>
              <w:szCs w:val="28"/>
            </w:rPr>
            <w:fldChar w:fldCharType="begin"/>
          </w:r>
          <w:r>
            <w:rPr>
              <w:sz w:val="28"/>
              <w:szCs w:val="28"/>
            </w:rPr>
            <w:instrText xml:space="preserve"> PAGEREF _Toc12895 \h </w:instrText>
          </w:r>
          <w:r>
            <w:rPr>
              <w:sz w:val="28"/>
              <w:szCs w:val="28"/>
            </w:rPr>
            <w:fldChar w:fldCharType="separate"/>
          </w:r>
          <w:r>
            <w:rPr>
              <w:sz w:val="28"/>
              <w:szCs w:val="28"/>
            </w:rPr>
            <w:t>13</w:t>
          </w:r>
          <w:r>
            <w:rPr>
              <w:sz w:val="28"/>
              <w:szCs w:val="28"/>
            </w:rPr>
            <w:fldChar w:fldCharType="end"/>
          </w:r>
          <w:r>
            <w:rPr>
              <w:rFonts w:hint="eastAsia" w:eastAsia="宋体"/>
              <w:sz w:val="28"/>
              <w:szCs w:val="28"/>
              <w:highlight w:val="green"/>
            </w:rPr>
            <w:fldChar w:fldCharType="end"/>
          </w:r>
        </w:p>
        <w:p w14:paraId="57DD9154">
          <w:pPr>
            <w:pStyle w:val="5"/>
            <w:tabs>
              <w:tab w:val="right" w:leader="dot" w:pos="8306"/>
            </w:tabs>
            <w:rPr>
              <w:sz w:val="24"/>
              <w:szCs w:val="24"/>
            </w:rPr>
          </w:pPr>
          <w:r>
            <w:rPr>
              <w:rFonts w:hint="eastAsia" w:eastAsia="宋体"/>
              <w:sz w:val="24"/>
              <w:szCs w:val="24"/>
              <w:highlight w:val="green"/>
            </w:rPr>
            <w:fldChar w:fldCharType="begin"/>
          </w:r>
          <w:r>
            <w:rPr>
              <w:rFonts w:hint="eastAsia" w:eastAsia="宋体"/>
              <w:sz w:val="24"/>
              <w:szCs w:val="24"/>
              <w:highlight w:val="green"/>
            </w:rPr>
            <w:instrText xml:space="preserve"> HYPERLINK \l _Toc30659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5.1 能源网络重构：从集中式到分布式的范式转换</w:t>
          </w:r>
          <w:r>
            <w:rPr>
              <w:sz w:val="24"/>
              <w:szCs w:val="24"/>
            </w:rPr>
            <w:tab/>
          </w:r>
          <w:r>
            <w:rPr>
              <w:sz w:val="24"/>
              <w:szCs w:val="24"/>
            </w:rPr>
            <w:fldChar w:fldCharType="begin"/>
          </w:r>
          <w:r>
            <w:rPr>
              <w:sz w:val="24"/>
              <w:szCs w:val="24"/>
            </w:rPr>
            <w:instrText xml:space="preserve"> PAGEREF _Toc30659 \h </w:instrText>
          </w:r>
          <w:r>
            <w:rPr>
              <w:sz w:val="24"/>
              <w:szCs w:val="24"/>
            </w:rPr>
            <w:fldChar w:fldCharType="separate"/>
          </w:r>
          <w:r>
            <w:rPr>
              <w:sz w:val="24"/>
              <w:szCs w:val="24"/>
            </w:rPr>
            <w:t>13</w:t>
          </w:r>
          <w:r>
            <w:rPr>
              <w:sz w:val="24"/>
              <w:szCs w:val="24"/>
            </w:rPr>
            <w:fldChar w:fldCharType="end"/>
          </w:r>
          <w:r>
            <w:rPr>
              <w:rFonts w:hint="eastAsia" w:eastAsia="宋体"/>
              <w:sz w:val="24"/>
              <w:szCs w:val="24"/>
              <w:highlight w:val="green"/>
            </w:rPr>
            <w:fldChar w:fldCharType="end"/>
          </w:r>
        </w:p>
        <w:p w14:paraId="13B70199">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_Toc2749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5.1.1 分布式能源网络的技术跃迁与协同架构</w:t>
          </w:r>
          <w:r>
            <w:tab/>
          </w:r>
          <w:r>
            <w:fldChar w:fldCharType="begin"/>
          </w:r>
          <w:r>
            <w:instrText xml:space="preserve"> PAGEREF _Toc2749 \h </w:instrText>
          </w:r>
          <w:r>
            <w:fldChar w:fldCharType="separate"/>
          </w:r>
          <w:r>
            <w:t>14</w:t>
          </w:r>
          <w:r>
            <w:fldChar w:fldCharType="end"/>
          </w:r>
          <w:r>
            <w:rPr>
              <w:rFonts w:hint="eastAsia" w:eastAsia="宋体"/>
              <w:szCs w:val="24"/>
              <w:highlight w:val="green"/>
            </w:rPr>
            <w:fldChar w:fldCharType="end"/>
          </w:r>
        </w:p>
        <w:p w14:paraId="790FCBA5">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_Toc28877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5.1.2 车-能协同驱动的产业生态重构</w:t>
          </w:r>
          <w:r>
            <w:tab/>
          </w:r>
          <w:r>
            <w:fldChar w:fldCharType="begin"/>
          </w:r>
          <w:r>
            <w:instrText xml:space="preserve"> PAGEREF _Toc28877 \h </w:instrText>
          </w:r>
          <w:r>
            <w:fldChar w:fldCharType="separate"/>
          </w:r>
          <w:r>
            <w:t>14</w:t>
          </w:r>
          <w:r>
            <w:fldChar w:fldCharType="end"/>
          </w:r>
          <w:r>
            <w:rPr>
              <w:rFonts w:hint="eastAsia" w:eastAsia="宋体"/>
              <w:szCs w:val="24"/>
              <w:highlight w:val="green"/>
            </w:rPr>
            <w:fldChar w:fldCharType="end"/>
          </w:r>
        </w:p>
        <w:p w14:paraId="2DFB4143">
          <w:pPr>
            <w:pStyle w:val="5"/>
            <w:tabs>
              <w:tab w:val="right" w:leader="dot" w:pos="8306"/>
            </w:tabs>
          </w:pPr>
          <w:r>
            <w:rPr>
              <w:rFonts w:hint="eastAsia" w:eastAsia="宋体"/>
              <w:sz w:val="24"/>
              <w:szCs w:val="24"/>
              <w:highlight w:val="green"/>
            </w:rPr>
            <w:fldChar w:fldCharType="begin"/>
          </w:r>
          <w:r>
            <w:rPr>
              <w:rFonts w:hint="eastAsia" w:eastAsia="宋体"/>
              <w:sz w:val="24"/>
              <w:szCs w:val="24"/>
              <w:highlight w:val="green"/>
            </w:rPr>
            <w:instrText xml:space="preserve"> HYPERLINK \l _Toc3308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5.2 价值链重构：产业链核心环节的竞争力重塑</w:t>
          </w:r>
          <w:r>
            <w:rPr>
              <w:sz w:val="24"/>
              <w:szCs w:val="24"/>
            </w:rPr>
            <w:tab/>
          </w:r>
          <w:r>
            <w:rPr>
              <w:sz w:val="24"/>
              <w:szCs w:val="24"/>
            </w:rPr>
            <w:fldChar w:fldCharType="begin"/>
          </w:r>
          <w:r>
            <w:rPr>
              <w:sz w:val="24"/>
              <w:szCs w:val="24"/>
            </w:rPr>
            <w:instrText xml:space="preserve"> PAGEREF _Toc3308 \h </w:instrText>
          </w:r>
          <w:r>
            <w:rPr>
              <w:sz w:val="24"/>
              <w:szCs w:val="24"/>
            </w:rPr>
            <w:fldChar w:fldCharType="separate"/>
          </w:r>
          <w:r>
            <w:rPr>
              <w:sz w:val="24"/>
              <w:szCs w:val="24"/>
            </w:rPr>
            <w:t>15</w:t>
          </w:r>
          <w:r>
            <w:rPr>
              <w:sz w:val="24"/>
              <w:szCs w:val="24"/>
            </w:rPr>
            <w:fldChar w:fldCharType="end"/>
          </w:r>
          <w:r>
            <w:rPr>
              <w:rFonts w:hint="eastAsia" w:eastAsia="宋体"/>
              <w:sz w:val="24"/>
              <w:szCs w:val="24"/>
              <w:highlight w:val="green"/>
            </w:rPr>
            <w:fldChar w:fldCharType="end"/>
          </w:r>
        </w:p>
        <w:p w14:paraId="2426CB26">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_Toc18178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5.2.1 技术突破驱动的纵向整合与降本增效</w:t>
          </w:r>
          <w:r>
            <w:tab/>
          </w:r>
          <w:r>
            <w:fldChar w:fldCharType="begin"/>
          </w:r>
          <w:r>
            <w:instrText xml:space="preserve"> PAGEREF _Toc18178 \h </w:instrText>
          </w:r>
          <w:r>
            <w:fldChar w:fldCharType="separate"/>
          </w:r>
          <w:r>
            <w:t>15</w:t>
          </w:r>
          <w:r>
            <w:fldChar w:fldCharType="end"/>
          </w:r>
          <w:r>
            <w:rPr>
              <w:rFonts w:hint="eastAsia" w:eastAsia="宋体"/>
              <w:szCs w:val="24"/>
              <w:highlight w:val="green"/>
            </w:rPr>
            <w:fldChar w:fldCharType="end"/>
          </w:r>
        </w:p>
        <w:p w14:paraId="4B41EF9D">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_Toc4049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5.2.2 跨域融合催生的横向价值网络重构</w:t>
          </w:r>
          <w:r>
            <w:tab/>
          </w:r>
          <w:r>
            <w:fldChar w:fldCharType="begin"/>
          </w:r>
          <w:r>
            <w:instrText xml:space="preserve"> PAGEREF _Toc4049 \h </w:instrText>
          </w:r>
          <w:r>
            <w:fldChar w:fldCharType="separate"/>
          </w:r>
          <w:r>
            <w:t>16</w:t>
          </w:r>
          <w:r>
            <w:fldChar w:fldCharType="end"/>
          </w:r>
          <w:r>
            <w:rPr>
              <w:rFonts w:hint="eastAsia" w:eastAsia="宋体"/>
              <w:szCs w:val="24"/>
              <w:highlight w:val="green"/>
            </w:rPr>
            <w:fldChar w:fldCharType="end"/>
          </w:r>
        </w:p>
        <w:p w14:paraId="1E5848F6">
          <w:pPr>
            <w:pStyle w:val="5"/>
            <w:tabs>
              <w:tab w:val="right" w:leader="dot" w:pos="8306"/>
            </w:tabs>
            <w:ind w:left="0" w:leftChars="0" w:firstLine="560" w:firstLineChars="200"/>
          </w:pPr>
          <w:r>
            <w:rPr>
              <w:rFonts w:hint="eastAsia" w:eastAsia="宋体"/>
              <w:sz w:val="28"/>
              <w:szCs w:val="28"/>
              <w:highlight w:val="green"/>
            </w:rPr>
            <w:fldChar w:fldCharType="begin"/>
          </w:r>
          <w:r>
            <w:rPr>
              <w:rFonts w:hint="eastAsia" w:eastAsia="宋体"/>
              <w:sz w:val="28"/>
              <w:szCs w:val="28"/>
              <w:highlight w:val="green"/>
            </w:rPr>
            <w:instrText xml:space="preserve"> HYPERLINK \l _Toc31526 </w:instrText>
          </w:r>
          <w:r>
            <w:rPr>
              <w:rFonts w:hint="eastAsia" w:eastAsia="宋体"/>
              <w:sz w:val="28"/>
              <w:szCs w:val="28"/>
              <w:highlight w:val="green"/>
            </w:rPr>
            <w:fldChar w:fldCharType="separate"/>
          </w:r>
          <w:r>
            <w:rPr>
              <w:rFonts w:hint="default" w:ascii="黑体" w:hAnsi="Times New Roman" w:eastAsia="黑体" w:cs="Times New Roman"/>
              <w:bCs/>
              <w:kern w:val="2"/>
              <w:sz w:val="28"/>
              <w:szCs w:val="28"/>
              <w:lang w:val="en-US" w:eastAsia="zh-CN" w:bidi="ar-SA"/>
            </w:rPr>
            <w:t>六、案例研究：典型区域的实践探索</w:t>
          </w:r>
          <w:r>
            <w:rPr>
              <w:sz w:val="28"/>
              <w:szCs w:val="28"/>
            </w:rPr>
            <w:tab/>
          </w:r>
          <w:r>
            <w:rPr>
              <w:sz w:val="28"/>
              <w:szCs w:val="28"/>
            </w:rPr>
            <w:fldChar w:fldCharType="begin"/>
          </w:r>
          <w:r>
            <w:rPr>
              <w:sz w:val="28"/>
              <w:szCs w:val="28"/>
            </w:rPr>
            <w:instrText xml:space="preserve"> PAGEREF _Toc31526 \h </w:instrText>
          </w:r>
          <w:r>
            <w:rPr>
              <w:sz w:val="28"/>
              <w:szCs w:val="28"/>
            </w:rPr>
            <w:fldChar w:fldCharType="separate"/>
          </w:r>
          <w:r>
            <w:rPr>
              <w:sz w:val="28"/>
              <w:szCs w:val="28"/>
            </w:rPr>
            <w:t>16</w:t>
          </w:r>
          <w:r>
            <w:rPr>
              <w:sz w:val="28"/>
              <w:szCs w:val="28"/>
            </w:rPr>
            <w:fldChar w:fldCharType="end"/>
          </w:r>
          <w:r>
            <w:rPr>
              <w:rFonts w:hint="eastAsia" w:eastAsia="宋体"/>
              <w:sz w:val="28"/>
              <w:szCs w:val="28"/>
              <w:highlight w:val="green"/>
            </w:rPr>
            <w:fldChar w:fldCharType="end"/>
          </w:r>
        </w:p>
        <w:p w14:paraId="7F1C78A6">
          <w:pPr>
            <w:pStyle w:val="5"/>
            <w:tabs>
              <w:tab w:val="right" w:leader="dot" w:pos="8306"/>
            </w:tabs>
            <w:rPr>
              <w:rFonts w:hint="eastAsia" w:eastAsia="宋体"/>
              <w:szCs w:val="24"/>
              <w:highlight w:val="none"/>
            </w:rPr>
          </w:pPr>
          <w:r>
            <w:rPr>
              <w:rFonts w:hint="eastAsia" w:eastAsia="宋体"/>
              <w:sz w:val="24"/>
              <w:szCs w:val="24"/>
              <w:highlight w:val="none"/>
            </w:rPr>
            <w:t xml:space="preserve">6.1 </w:t>
          </w:r>
          <w:r>
            <w:rPr>
              <w:rFonts w:hint="eastAsia" w:eastAsia="宋体"/>
              <w:b/>
              <w:bCs/>
              <w:sz w:val="24"/>
              <w:szCs w:val="24"/>
              <w:highlight w:val="none"/>
            </w:rPr>
            <w:t>国际经验比较</w:t>
          </w:r>
          <w:r>
            <w:rPr>
              <w:sz w:val="24"/>
              <w:szCs w:val="24"/>
            </w:rPr>
            <w:tab/>
          </w:r>
          <w:r>
            <w:rPr>
              <w:sz w:val="24"/>
              <w:szCs w:val="24"/>
            </w:rPr>
            <w:fldChar w:fldCharType="begin"/>
          </w:r>
          <w:r>
            <w:rPr>
              <w:sz w:val="24"/>
              <w:szCs w:val="24"/>
            </w:rPr>
            <w:instrText xml:space="preserve"> PAGEREF _Toc17087 \h </w:instrText>
          </w:r>
          <w:r>
            <w:rPr>
              <w:sz w:val="24"/>
              <w:szCs w:val="24"/>
            </w:rPr>
            <w:fldChar w:fldCharType="separate"/>
          </w:r>
          <w:r>
            <w:rPr>
              <w:sz w:val="24"/>
              <w:szCs w:val="24"/>
            </w:rPr>
            <w:t>16</w:t>
          </w:r>
          <w:r>
            <w:rPr>
              <w:sz w:val="24"/>
              <w:szCs w:val="24"/>
            </w:rPr>
            <w:fldChar w:fldCharType="end"/>
          </w:r>
        </w:p>
        <w:p w14:paraId="45FFC07D">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_Toc17087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6.1.1 德国：深度减碳与能源系统耦合</w:t>
          </w:r>
          <w:r>
            <w:tab/>
          </w:r>
          <w:r>
            <w:fldChar w:fldCharType="begin"/>
          </w:r>
          <w:r>
            <w:instrText xml:space="preserve"> PAGEREF _Toc17087 \h </w:instrText>
          </w:r>
          <w:r>
            <w:fldChar w:fldCharType="separate"/>
          </w:r>
          <w:r>
            <w:t>16</w:t>
          </w:r>
          <w:r>
            <w:fldChar w:fldCharType="end"/>
          </w:r>
          <w:r>
            <w:rPr>
              <w:rFonts w:hint="eastAsia" w:eastAsia="宋体"/>
              <w:szCs w:val="24"/>
              <w:highlight w:val="green"/>
            </w:rPr>
            <w:fldChar w:fldCharType="end"/>
          </w:r>
        </w:p>
        <w:p w14:paraId="070F0012">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_Toc22506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6.1.2 日本：技术专利壁垒与全球供应链布局</w:t>
          </w:r>
          <w:r>
            <w:tab/>
          </w:r>
          <w:r>
            <w:fldChar w:fldCharType="begin"/>
          </w:r>
          <w:r>
            <w:instrText xml:space="preserve"> PAGEREF _Toc22506 \h </w:instrText>
          </w:r>
          <w:r>
            <w:fldChar w:fldCharType="separate"/>
          </w:r>
          <w:r>
            <w:t>17</w:t>
          </w:r>
          <w:r>
            <w:fldChar w:fldCharType="end"/>
          </w:r>
          <w:r>
            <w:rPr>
              <w:rFonts w:hint="eastAsia" w:eastAsia="宋体"/>
              <w:szCs w:val="24"/>
              <w:highlight w:val="green"/>
            </w:rPr>
            <w:fldChar w:fldCharType="end"/>
          </w:r>
        </w:p>
        <w:p w14:paraId="6CDCD7DE">
          <w:pPr>
            <w:pStyle w:val="5"/>
            <w:tabs>
              <w:tab w:val="right" w:leader="dot" w:pos="8306"/>
            </w:tabs>
            <w:ind w:firstLine="420" w:firstLineChars="200"/>
          </w:pPr>
          <w:r>
            <w:rPr>
              <w:rFonts w:hint="eastAsia" w:eastAsia="宋体"/>
              <w:szCs w:val="24"/>
              <w:highlight w:val="green"/>
            </w:rPr>
            <w:fldChar w:fldCharType="begin"/>
          </w:r>
          <w:r>
            <w:rPr>
              <w:rFonts w:hint="eastAsia" w:eastAsia="宋体"/>
              <w:szCs w:val="24"/>
              <w:highlight w:val="green"/>
            </w:rPr>
            <w:instrText xml:space="preserve"> HYPERLINK \l _Toc2038 </w:instrText>
          </w:r>
          <w:r>
            <w:rPr>
              <w:rFonts w:hint="eastAsia" w:eastAsia="宋体"/>
              <w:szCs w:val="24"/>
              <w:highlight w:val="green"/>
            </w:rPr>
            <w:fldChar w:fldCharType="separate"/>
          </w:r>
          <w:r>
            <w:rPr>
              <w:rFonts w:hint="default" w:ascii="黑体" w:hAnsi="Times New Roman" w:eastAsia="黑体" w:cs="Times New Roman"/>
              <w:bCs/>
              <w:kern w:val="2"/>
              <w:szCs w:val="24"/>
              <w:lang w:val="en-US" w:eastAsia="zh-CN" w:bidi="ar-SA"/>
            </w:rPr>
            <w:t>6.1.3 美国：技术储备与多元化应用探索</w:t>
          </w:r>
          <w:r>
            <w:tab/>
          </w:r>
          <w:r>
            <w:fldChar w:fldCharType="begin"/>
          </w:r>
          <w:r>
            <w:instrText xml:space="preserve"> PAGEREF _Toc2038 \h </w:instrText>
          </w:r>
          <w:r>
            <w:fldChar w:fldCharType="separate"/>
          </w:r>
          <w:r>
            <w:t>17</w:t>
          </w:r>
          <w:r>
            <w:fldChar w:fldCharType="end"/>
          </w:r>
          <w:r>
            <w:rPr>
              <w:rFonts w:hint="eastAsia" w:eastAsia="宋体"/>
              <w:szCs w:val="24"/>
              <w:highlight w:val="green"/>
            </w:rPr>
            <w:fldChar w:fldCharType="end"/>
          </w:r>
        </w:p>
        <w:p w14:paraId="5C0919C9">
          <w:pPr>
            <w:pStyle w:val="5"/>
            <w:tabs>
              <w:tab w:val="right" w:leader="dot" w:pos="8306"/>
            </w:tabs>
          </w:pPr>
          <w:r>
            <w:rPr>
              <w:rFonts w:hint="eastAsia" w:eastAsia="宋体"/>
              <w:sz w:val="24"/>
              <w:szCs w:val="24"/>
              <w:highlight w:val="green"/>
            </w:rPr>
            <w:fldChar w:fldCharType="begin"/>
          </w:r>
          <w:r>
            <w:rPr>
              <w:rFonts w:hint="eastAsia" w:eastAsia="宋体"/>
              <w:sz w:val="24"/>
              <w:szCs w:val="24"/>
              <w:highlight w:val="green"/>
            </w:rPr>
            <w:instrText xml:space="preserve"> HYPERLINK \l _Toc20186 </w:instrText>
          </w:r>
          <w:r>
            <w:rPr>
              <w:rFonts w:hint="eastAsia" w:eastAsia="宋体"/>
              <w:sz w:val="24"/>
              <w:szCs w:val="24"/>
              <w:highlight w:val="green"/>
            </w:rPr>
            <w:fldChar w:fldCharType="separate"/>
          </w:r>
          <w:r>
            <w:rPr>
              <w:rFonts w:hint="default" w:ascii="黑体" w:hAnsi="Times New Roman" w:eastAsia="黑体" w:cs="Times New Roman"/>
              <w:bCs/>
              <w:sz w:val="24"/>
              <w:szCs w:val="24"/>
              <w:lang w:val="en-US" w:eastAsia="zh-CN"/>
            </w:rPr>
            <w:t>6.2 中国实践样本</w:t>
          </w:r>
          <w:r>
            <w:rPr>
              <w:sz w:val="24"/>
              <w:szCs w:val="24"/>
            </w:rPr>
            <w:tab/>
          </w:r>
          <w:r>
            <w:rPr>
              <w:sz w:val="24"/>
              <w:szCs w:val="24"/>
            </w:rPr>
            <w:fldChar w:fldCharType="begin"/>
          </w:r>
          <w:r>
            <w:rPr>
              <w:sz w:val="24"/>
              <w:szCs w:val="24"/>
            </w:rPr>
            <w:instrText xml:space="preserve"> PAGEREF _Toc20186 \h </w:instrText>
          </w:r>
          <w:r>
            <w:rPr>
              <w:sz w:val="24"/>
              <w:szCs w:val="24"/>
            </w:rPr>
            <w:fldChar w:fldCharType="separate"/>
          </w:r>
          <w:r>
            <w:rPr>
              <w:sz w:val="24"/>
              <w:szCs w:val="24"/>
            </w:rPr>
            <w:t>17</w:t>
          </w:r>
          <w:r>
            <w:rPr>
              <w:sz w:val="24"/>
              <w:szCs w:val="24"/>
            </w:rPr>
            <w:fldChar w:fldCharType="end"/>
          </w:r>
          <w:r>
            <w:rPr>
              <w:rFonts w:hint="eastAsia" w:eastAsia="宋体"/>
              <w:sz w:val="24"/>
              <w:szCs w:val="24"/>
              <w:highlight w:val="green"/>
            </w:rPr>
            <w:fldChar w:fldCharType="end"/>
          </w:r>
        </w:p>
        <w:p w14:paraId="27C60262">
          <w:pPr>
            <w:pStyle w:val="5"/>
            <w:tabs>
              <w:tab w:val="right" w:leader="dot" w:pos="8306"/>
            </w:tabs>
            <w:rPr>
              <w:sz w:val="28"/>
              <w:szCs w:val="28"/>
            </w:rPr>
          </w:pPr>
          <w:r>
            <w:rPr>
              <w:rFonts w:hint="eastAsia" w:eastAsia="宋体"/>
              <w:sz w:val="28"/>
              <w:szCs w:val="28"/>
              <w:highlight w:val="green"/>
            </w:rPr>
            <w:fldChar w:fldCharType="begin"/>
          </w:r>
          <w:r>
            <w:rPr>
              <w:rFonts w:hint="eastAsia" w:eastAsia="宋体"/>
              <w:sz w:val="28"/>
              <w:szCs w:val="28"/>
              <w:highlight w:val="green"/>
            </w:rPr>
            <w:instrText xml:space="preserve"> HYPERLINK \l _Toc17417 </w:instrText>
          </w:r>
          <w:r>
            <w:rPr>
              <w:rFonts w:hint="eastAsia" w:eastAsia="宋体"/>
              <w:sz w:val="28"/>
              <w:szCs w:val="28"/>
              <w:highlight w:val="green"/>
            </w:rPr>
            <w:fldChar w:fldCharType="separate"/>
          </w:r>
          <w:r>
            <w:rPr>
              <w:rFonts w:hint="default" w:ascii="黑体" w:hAnsi="Times New Roman" w:eastAsia="黑体" w:cs="Times New Roman"/>
              <w:bCs/>
              <w:kern w:val="2"/>
              <w:sz w:val="28"/>
              <w:szCs w:val="28"/>
              <w:lang w:val="en-US" w:eastAsia="zh-CN" w:bidi="ar-SA"/>
            </w:rPr>
            <w:t>七、结论与展望</w:t>
          </w:r>
          <w:r>
            <w:rPr>
              <w:rFonts w:hint="eastAsia" w:ascii="黑体" w:hAnsi="Times New Roman" w:eastAsia="黑体" w:cs="Times New Roman"/>
              <w:bCs/>
              <w:kern w:val="2"/>
              <w:sz w:val="28"/>
              <w:szCs w:val="28"/>
              <w:lang w:val="en-US" w:eastAsia="zh-CN" w:bidi="ar-SA"/>
            </w:rPr>
            <w:t>：</w:t>
          </w:r>
          <w:r>
            <w:rPr>
              <w:rFonts w:hint="default" w:ascii="Segoe UI" w:hAnsi="Segoe UI" w:eastAsia="Segoe UI" w:cs="Segoe UI"/>
              <w:b/>
              <w:bCs w:val="0"/>
              <w:i w:val="0"/>
              <w:iCs w:val="0"/>
              <w:caps w:val="0"/>
              <w:spacing w:val="0"/>
              <w:sz w:val="28"/>
              <w:szCs w:val="28"/>
              <w:shd w:val="clear" w:fill="FCFCFC"/>
              <w:vertAlign w:val="baseline"/>
            </w:rPr>
            <w:t>汽车能源动力系统的代际重构逻辑</w:t>
          </w:r>
          <w:r>
            <w:rPr>
              <w:sz w:val="28"/>
              <w:szCs w:val="28"/>
            </w:rPr>
            <w:tab/>
          </w:r>
          <w:r>
            <w:rPr>
              <w:sz w:val="28"/>
              <w:szCs w:val="28"/>
            </w:rPr>
            <w:fldChar w:fldCharType="begin"/>
          </w:r>
          <w:r>
            <w:rPr>
              <w:sz w:val="28"/>
              <w:szCs w:val="28"/>
            </w:rPr>
            <w:instrText xml:space="preserve"> PAGEREF _Toc17417 \h </w:instrText>
          </w:r>
          <w:r>
            <w:rPr>
              <w:sz w:val="28"/>
              <w:szCs w:val="28"/>
            </w:rPr>
            <w:fldChar w:fldCharType="separate"/>
          </w:r>
          <w:r>
            <w:rPr>
              <w:sz w:val="28"/>
              <w:szCs w:val="28"/>
            </w:rPr>
            <w:t>19</w:t>
          </w:r>
          <w:r>
            <w:rPr>
              <w:sz w:val="28"/>
              <w:szCs w:val="28"/>
            </w:rPr>
            <w:fldChar w:fldCharType="end"/>
          </w:r>
          <w:r>
            <w:rPr>
              <w:rFonts w:hint="eastAsia" w:eastAsia="宋体"/>
              <w:sz w:val="28"/>
              <w:szCs w:val="28"/>
              <w:highlight w:val="green"/>
            </w:rPr>
            <w:fldChar w:fldCharType="end"/>
          </w:r>
        </w:p>
        <w:p w14:paraId="4EB25FD8">
          <w:pPr>
            <w:pStyle w:val="6"/>
            <w:tabs>
              <w:tab w:val="right" w:leader="dot" w:pos="8306"/>
            </w:tabs>
            <w:rPr>
              <w:sz w:val="28"/>
              <w:szCs w:val="28"/>
            </w:rPr>
          </w:pPr>
          <w:r>
            <w:rPr>
              <w:rFonts w:hint="eastAsia" w:eastAsia="宋体"/>
              <w:sz w:val="28"/>
              <w:szCs w:val="28"/>
              <w:highlight w:val="green"/>
            </w:rPr>
            <w:fldChar w:fldCharType="begin"/>
          </w:r>
          <w:r>
            <w:rPr>
              <w:rFonts w:hint="eastAsia" w:eastAsia="宋体"/>
              <w:sz w:val="28"/>
              <w:szCs w:val="28"/>
              <w:highlight w:val="green"/>
            </w:rPr>
            <w:instrText xml:space="preserve"> HYPERLINK \l _Toc23065 </w:instrText>
          </w:r>
          <w:r>
            <w:rPr>
              <w:rFonts w:hint="eastAsia" w:eastAsia="宋体"/>
              <w:sz w:val="28"/>
              <w:szCs w:val="28"/>
              <w:highlight w:val="green"/>
            </w:rPr>
            <w:fldChar w:fldCharType="separate"/>
          </w:r>
          <w:r>
            <w:rPr>
              <w:rFonts w:hint="eastAsia" w:ascii="黑体" w:hAnsi="Times New Roman" w:eastAsia="黑体" w:cs="Times New Roman"/>
              <w:bCs/>
              <w:sz w:val="28"/>
              <w:szCs w:val="28"/>
            </w:rPr>
            <w:t>参考文献：</w:t>
          </w:r>
          <w:r>
            <w:rPr>
              <w:sz w:val="28"/>
              <w:szCs w:val="28"/>
            </w:rPr>
            <w:tab/>
          </w:r>
          <w:r>
            <w:rPr>
              <w:sz w:val="28"/>
              <w:szCs w:val="28"/>
            </w:rPr>
            <w:fldChar w:fldCharType="begin"/>
          </w:r>
          <w:r>
            <w:rPr>
              <w:sz w:val="28"/>
              <w:szCs w:val="28"/>
            </w:rPr>
            <w:instrText xml:space="preserve"> PAGEREF _Toc23065 \h </w:instrText>
          </w:r>
          <w:r>
            <w:rPr>
              <w:sz w:val="28"/>
              <w:szCs w:val="28"/>
            </w:rPr>
            <w:fldChar w:fldCharType="separate"/>
          </w:r>
          <w:r>
            <w:rPr>
              <w:sz w:val="28"/>
              <w:szCs w:val="28"/>
            </w:rPr>
            <w:t>19</w:t>
          </w:r>
          <w:r>
            <w:rPr>
              <w:sz w:val="28"/>
              <w:szCs w:val="28"/>
            </w:rPr>
            <w:fldChar w:fldCharType="end"/>
          </w:r>
          <w:r>
            <w:rPr>
              <w:rFonts w:hint="eastAsia" w:eastAsia="宋体"/>
              <w:sz w:val="28"/>
              <w:szCs w:val="28"/>
              <w:highlight w:val="green"/>
            </w:rPr>
            <w:fldChar w:fldCharType="end"/>
          </w:r>
        </w:p>
        <w:p w14:paraId="65FAF135">
          <w:pPr>
            <w:pStyle w:val="5"/>
            <w:tabs>
              <w:tab w:val="right" w:leader="dot" w:pos="8306"/>
            </w:tabs>
          </w:pPr>
          <w:r>
            <w:rPr>
              <w:rFonts w:hint="eastAsia" w:eastAsia="宋体"/>
              <w:sz w:val="28"/>
              <w:szCs w:val="28"/>
              <w:highlight w:val="green"/>
            </w:rPr>
            <w:fldChar w:fldCharType="begin"/>
          </w:r>
          <w:r>
            <w:rPr>
              <w:rFonts w:hint="eastAsia" w:eastAsia="宋体"/>
              <w:sz w:val="28"/>
              <w:szCs w:val="28"/>
              <w:highlight w:val="green"/>
            </w:rPr>
            <w:instrText xml:space="preserve"> HYPERLINK \l _Toc32126 </w:instrText>
          </w:r>
          <w:r>
            <w:rPr>
              <w:rFonts w:hint="eastAsia" w:eastAsia="宋体"/>
              <w:sz w:val="28"/>
              <w:szCs w:val="28"/>
              <w:highlight w:val="green"/>
            </w:rPr>
            <w:fldChar w:fldCharType="separate"/>
          </w:r>
          <w:r>
            <w:rPr>
              <w:rFonts w:hint="eastAsia" w:ascii="黑体" w:hAnsi="Times New Roman" w:eastAsia="黑体" w:cs="Times New Roman"/>
              <w:bCs/>
              <w:sz w:val="28"/>
              <w:szCs w:val="28"/>
              <w:lang w:val="en-US" w:eastAsia="zh-CN"/>
            </w:rPr>
            <w:t>致谢</w:t>
          </w:r>
          <w:r>
            <w:rPr>
              <w:sz w:val="28"/>
              <w:szCs w:val="28"/>
            </w:rPr>
            <w:tab/>
          </w:r>
          <w:r>
            <w:rPr>
              <w:sz w:val="28"/>
              <w:szCs w:val="28"/>
            </w:rPr>
            <w:fldChar w:fldCharType="begin"/>
          </w:r>
          <w:r>
            <w:rPr>
              <w:sz w:val="28"/>
              <w:szCs w:val="28"/>
            </w:rPr>
            <w:instrText xml:space="preserve"> PAGEREF _Toc32126 \h </w:instrText>
          </w:r>
          <w:r>
            <w:rPr>
              <w:sz w:val="28"/>
              <w:szCs w:val="28"/>
            </w:rPr>
            <w:fldChar w:fldCharType="separate"/>
          </w:r>
          <w:r>
            <w:rPr>
              <w:sz w:val="28"/>
              <w:szCs w:val="28"/>
            </w:rPr>
            <w:t>21</w:t>
          </w:r>
          <w:r>
            <w:rPr>
              <w:sz w:val="28"/>
              <w:szCs w:val="28"/>
            </w:rPr>
            <w:fldChar w:fldCharType="end"/>
          </w:r>
          <w:r>
            <w:rPr>
              <w:rFonts w:hint="eastAsia" w:eastAsia="宋体"/>
              <w:sz w:val="28"/>
              <w:szCs w:val="28"/>
              <w:highlight w:val="green"/>
            </w:rPr>
            <w:fldChar w:fldCharType="end"/>
          </w:r>
        </w:p>
        <w:p w14:paraId="24B09634">
          <w:pPr>
            <w:widowControl/>
            <w:topLinePunct/>
            <w:spacing w:before="480" w:after="120"/>
            <w:outlineLvl w:val="1"/>
            <w:rPr>
              <w:rFonts w:hint="eastAsia" w:ascii="黑体" w:hAnsi="Times New Roman" w:eastAsia="黑体" w:cs="Times New Roman"/>
              <w:bCs/>
              <w:sz w:val="30"/>
              <w:szCs w:val="30"/>
            </w:rPr>
          </w:pPr>
          <w:r>
            <w:rPr>
              <w:rFonts w:hint="eastAsia" w:eastAsia="宋体"/>
              <w:szCs w:val="24"/>
              <w:highlight w:val="green"/>
            </w:rPr>
            <w:fldChar w:fldCharType="end"/>
          </w:r>
          <w:bookmarkStart w:id="7" w:name="_Toc18922"/>
        </w:p>
      </w:sdtContent>
    </w:sdt>
    <w:p w14:paraId="01149ABC">
      <w:pPr>
        <w:widowControl/>
        <w:topLinePunct/>
        <w:spacing w:before="480" w:after="120"/>
        <w:outlineLvl w:val="1"/>
        <w:rPr>
          <w:rFonts w:hint="eastAsia" w:ascii="黑体" w:hAnsi="Times New Roman" w:eastAsia="黑体" w:cs="Times New Roman"/>
          <w:bCs/>
          <w:sz w:val="30"/>
          <w:szCs w:val="30"/>
        </w:rPr>
      </w:pPr>
    </w:p>
    <w:p w14:paraId="450B929E">
      <w:pPr>
        <w:widowControl/>
        <w:topLinePunct/>
        <w:spacing w:before="480" w:after="120"/>
        <w:outlineLvl w:val="1"/>
        <w:rPr>
          <w:rFonts w:hint="default" w:ascii="黑体" w:hAnsi="Times New Roman" w:eastAsia="黑体" w:cs="Times New Roman"/>
          <w:bCs/>
          <w:sz w:val="30"/>
          <w:szCs w:val="30"/>
          <w:lang w:val="en-US" w:eastAsia="zh-CN"/>
        </w:rPr>
      </w:pPr>
      <w:r>
        <w:rPr>
          <w:rFonts w:hint="eastAsia" w:ascii="黑体" w:hAnsi="Times New Roman" w:eastAsia="黑体" w:cs="Times New Roman"/>
          <w:bCs/>
          <w:sz w:val="30"/>
          <w:szCs w:val="30"/>
        </w:rPr>
        <w:t>一、引言</w:t>
      </w:r>
      <w:bookmarkEnd w:id="7"/>
    </w:p>
    <w:p w14:paraId="5BB78758">
      <w:pPr>
        <w:ind w:firstLine="420" w:firstLineChars="0"/>
        <w:rPr>
          <w:rFonts w:hint="default"/>
          <w:lang w:val="en-US" w:eastAsia="zh-CN"/>
        </w:rPr>
      </w:pPr>
      <w:r>
        <w:rPr>
          <w:rFonts w:hint="default"/>
          <w:lang w:val="en-US" w:eastAsia="zh-CN"/>
        </w:rPr>
        <w:t>全球能源体系正经历以低碳化为核心的范式重构，交通领域作为碳减排的关键突破口，其动力系统代际更迭已成为各国气候战略的优先议题。国际能源署（IEA）统计显示，交通碳排放占全球能源活动总排放量的24%，其中公路运输占比超过四分之三。传统内燃机受热力学极限约束，热效率提升空间已逼近阈值，而纯电动技术虽在乘用车市场快速渗透</w:t>
      </w:r>
      <w:r>
        <w:rPr>
          <w:rFonts w:hint="eastAsia"/>
          <w:lang w:val="en-US" w:eastAsia="zh-CN"/>
        </w:rPr>
        <w:t>[1]</w:t>
      </w:r>
      <w:r>
        <w:rPr>
          <w:rFonts w:hint="default"/>
          <w:lang w:val="en-US" w:eastAsia="zh-CN"/>
        </w:rPr>
        <w:t>，却面临锂资源稀缺性约束与能量密度瓶颈的深层矛盾。这一结构性困境推动能源载体向多元化方向演进，氢能凭借其质量能量密度优势（达汽油的2.8倍）及终端应用零排放特性，被国际可再生能源机构（IRENA）定义为“深度脱碳不可替代的战略选项”</w:t>
      </w:r>
      <w:r>
        <w:rPr>
          <w:rFonts w:hint="eastAsia"/>
          <w:lang w:val="en-US" w:eastAsia="zh-CN"/>
        </w:rPr>
        <w:t>[2]</w:t>
      </w:r>
      <w:r>
        <w:rPr>
          <w:rFonts w:hint="default"/>
          <w:lang w:val="en-US" w:eastAsia="zh-CN"/>
        </w:rPr>
        <w:t>。</w:t>
      </w:r>
    </w:p>
    <w:p w14:paraId="237126E4">
      <w:pPr>
        <w:rPr>
          <w:rFonts w:hint="default"/>
          <w:lang w:val="en-US" w:eastAsia="zh-CN"/>
        </w:rPr>
      </w:pPr>
    </w:p>
    <w:p w14:paraId="3BD9699E">
      <w:pPr>
        <w:ind w:firstLine="420" w:firstLineChars="0"/>
        <w:rPr>
          <w:rFonts w:hint="default"/>
          <w:lang w:val="en-US" w:eastAsia="zh-CN"/>
        </w:rPr>
      </w:pPr>
      <w:r>
        <w:rPr>
          <w:rFonts w:hint="eastAsia"/>
          <w:lang w:val="en-US" w:eastAsia="zh-CN"/>
        </w:rPr>
        <w:t>但与此同时，</w:t>
      </w:r>
      <w:r>
        <w:rPr>
          <w:rFonts w:hint="default"/>
          <w:lang w:val="en-US" w:eastAsia="zh-CN"/>
        </w:rPr>
        <w:t>氢基能源系统的产业化进程仍面临多维挑战。技术层面，质子交换膜燃料电池关键材料国产化率不足40%，70MPa高压储氢瓶碳纤维依赖进口导致成本居高不下；基础设施层面，全球加氢站网络密度仅为传统加油站的0.1%，液氢储运能耗较国际先进水平存在30%差距；产业协同层面，电解制氢设备利用率与燃料电池汽车运营负荷率形成“双低”困局，暴露产业链纵向整合的深层障碍。</w:t>
      </w:r>
      <w:r>
        <w:rPr>
          <w:rFonts w:hint="eastAsia"/>
          <w:lang w:val="en-US" w:eastAsia="zh-CN"/>
        </w:rPr>
        <w:t>表1总结了当前不同能源汽车性价比指标分析，较之传统燃油车，以氢燃料电池为代表的新能源汽车仍旧成本高昂。</w:t>
      </w:r>
      <w:r>
        <w:rPr>
          <w:rFonts w:hint="default"/>
          <w:lang w:val="en-US" w:eastAsia="zh-CN"/>
        </w:rPr>
        <w:t>现有研究多聚焦单一技术参数的迭代优化，缺乏对能源网络重构、价值链重塑、制度体系创新等系统变革的跨尺度解析，难以揭示氢能革命对汽车产业生态的重构机理</w:t>
      </w:r>
      <w:r>
        <w:rPr>
          <w:rFonts w:hint="eastAsia"/>
          <w:lang w:val="en-US" w:eastAsia="zh-CN"/>
        </w:rPr>
        <w:t>[3]</w:t>
      </w:r>
      <w:r>
        <w:rPr>
          <w:rFonts w:hint="default"/>
          <w:lang w:val="en-US" w:eastAsia="zh-CN"/>
        </w:rPr>
        <w:t>。这一认知断层严重制约政策工具设计与商业模式创新，亟待建立涵盖“技术-产业-制度”三维跃迁的分析框架。</w:t>
      </w:r>
    </w:p>
    <w:p w14:paraId="585BF7A7">
      <w:pPr>
        <w:ind w:firstLine="420" w:firstLineChars="0"/>
        <w:rPr>
          <w:rFonts w:hint="default"/>
          <w:lang w:val="en-US" w:eastAsia="zh-CN"/>
        </w:rPr>
      </w:pPr>
    </w:p>
    <w:p w14:paraId="0AB8D12F">
      <w:pPr>
        <w:ind w:firstLine="2520" w:firstLineChars="1400"/>
        <w:jc w:val="both"/>
        <w:rPr>
          <w:rFonts w:hint="default"/>
          <w:lang w:val="en-US" w:eastAsia="zh-CN"/>
        </w:rPr>
      </w:pPr>
      <w:r>
        <w:rPr>
          <w:rFonts w:hint="eastAsia"/>
          <w:sz w:val="18"/>
          <w:szCs w:val="18"/>
          <w:lang w:val="en-US" w:eastAsia="zh-CN"/>
        </w:rPr>
        <w:t>表1：当前不同能源汽车性价比指标分析</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4"/>
        <w:gridCol w:w="2714"/>
        <w:gridCol w:w="2180"/>
        <w:gridCol w:w="2090"/>
      </w:tblGrid>
      <w:tr w14:paraId="6F976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54071F42">
            <w:pPr>
              <w:spacing w:after="400" w:line="400" w:lineRule="exact"/>
            </w:pPr>
            <w:r>
              <w:rPr>
                <w:b/>
              </w:rPr>
              <w:t>指标</w:t>
            </w:r>
          </w:p>
        </w:tc>
        <w:tc>
          <w:tcPr>
            <w:tcW w:w="2714" w:type="dxa"/>
          </w:tcPr>
          <w:p w14:paraId="1FB0759D">
            <w:pPr>
              <w:spacing w:after="400" w:line="400" w:lineRule="exact"/>
            </w:pPr>
            <w:r>
              <w:rPr>
                <w:b/>
              </w:rPr>
              <w:t>氢燃料电池汽车</w:t>
            </w:r>
          </w:p>
        </w:tc>
        <w:tc>
          <w:tcPr>
            <w:tcW w:w="2180" w:type="dxa"/>
          </w:tcPr>
          <w:p w14:paraId="2F13F6EC">
            <w:pPr>
              <w:spacing w:after="400" w:line="400" w:lineRule="exact"/>
            </w:pPr>
            <w:r>
              <w:rPr>
                <w:b/>
              </w:rPr>
              <w:t>纯电动汽车</w:t>
            </w:r>
          </w:p>
        </w:tc>
        <w:tc>
          <w:tcPr>
            <w:tcW w:w="2090" w:type="dxa"/>
          </w:tcPr>
          <w:p w14:paraId="0164F024">
            <w:pPr>
              <w:spacing w:after="400" w:line="400" w:lineRule="exact"/>
            </w:pPr>
            <w:r>
              <w:rPr>
                <w:b/>
              </w:rPr>
              <w:t>传统燃油车</w:t>
            </w:r>
          </w:p>
        </w:tc>
      </w:tr>
      <w:tr w14:paraId="44C6F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1B4AC530">
            <w:pPr>
              <w:spacing w:after="400" w:line="400" w:lineRule="exact"/>
            </w:pPr>
            <w:r>
              <w:rPr>
                <w:b/>
              </w:rPr>
              <w:t>环保性</w:t>
            </w:r>
          </w:p>
        </w:tc>
        <w:tc>
          <w:tcPr>
            <w:tcW w:w="2714" w:type="dxa"/>
          </w:tcPr>
          <w:p w14:paraId="6EC50486">
            <w:pPr>
              <w:spacing w:after="400" w:line="400" w:lineRule="exact"/>
            </w:pPr>
            <w:r>
              <w:t>零排放（仅水）</w:t>
            </w:r>
          </w:p>
        </w:tc>
        <w:tc>
          <w:tcPr>
            <w:tcW w:w="2180" w:type="dxa"/>
          </w:tcPr>
          <w:p w14:paraId="2F1A0BE2">
            <w:pPr>
              <w:spacing w:after="400" w:line="400" w:lineRule="exact"/>
            </w:pPr>
            <w:r>
              <w:t>间接碳排（电力来源）</w:t>
            </w:r>
          </w:p>
        </w:tc>
        <w:tc>
          <w:tcPr>
            <w:tcW w:w="2090" w:type="dxa"/>
          </w:tcPr>
          <w:p w14:paraId="71B335B3">
            <w:pPr>
              <w:spacing w:after="400" w:line="400" w:lineRule="exact"/>
            </w:pPr>
            <w:r>
              <w:t>高碳排放</w:t>
            </w:r>
          </w:p>
        </w:tc>
      </w:tr>
      <w:tr w14:paraId="0CFD8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5D26371C">
            <w:pPr>
              <w:spacing w:after="400" w:line="400" w:lineRule="exact"/>
            </w:pPr>
            <w:r>
              <w:rPr>
                <w:b/>
              </w:rPr>
              <w:t>续航里程</w:t>
            </w:r>
          </w:p>
        </w:tc>
        <w:tc>
          <w:tcPr>
            <w:tcW w:w="2714" w:type="dxa"/>
          </w:tcPr>
          <w:p w14:paraId="35DF371B">
            <w:pPr>
              <w:spacing w:after="400" w:line="400" w:lineRule="exact"/>
            </w:pPr>
            <w:r>
              <w:t>600-800公里</w:t>
            </w:r>
          </w:p>
        </w:tc>
        <w:tc>
          <w:tcPr>
            <w:tcW w:w="2180" w:type="dxa"/>
          </w:tcPr>
          <w:p w14:paraId="55B588DF">
            <w:pPr>
              <w:spacing w:after="400" w:line="400" w:lineRule="exact"/>
            </w:pPr>
            <w:r>
              <w:t>300-500公里</w:t>
            </w:r>
          </w:p>
        </w:tc>
        <w:tc>
          <w:tcPr>
            <w:tcW w:w="2090" w:type="dxa"/>
          </w:tcPr>
          <w:p w14:paraId="6D00978E">
            <w:pPr>
              <w:spacing w:after="400" w:line="400" w:lineRule="exact"/>
            </w:pPr>
            <w:r>
              <w:t>500-1000公里</w:t>
            </w:r>
          </w:p>
        </w:tc>
      </w:tr>
      <w:tr w14:paraId="4FD19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25CC3352">
            <w:pPr>
              <w:spacing w:after="400" w:line="400" w:lineRule="exact"/>
            </w:pPr>
            <w:r>
              <w:rPr>
                <w:b/>
              </w:rPr>
              <w:t>补能时间</w:t>
            </w:r>
          </w:p>
        </w:tc>
        <w:tc>
          <w:tcPr>
            <w:tcW w:w="2714" w:type="dxa"/>
          </w:tcPr>
          <w:p w14:paraId="6EC5185E">
            <w:pPr>
              <w:spacing w:after="400" w:line="400" w:lineRule="exact"/>
            </w:pPr>
            <w:r>
              <w:t>3-5分钟</w:t>
            </w:r>
          </w:p>
        </w:tc>
        <w:tc>
          <w:tcPr>
            <w:tcW w:w="2180" w:type="dxa"/>
          </w:tcPr>
          <w:p w14:paraId="75768C8A">
            <w:pPr>
              <w:spacing w:after="400" w:line="400" w:lineRule="exact"/>
            </w:pPr>
            <w:r>
              <w:t>30分钟-8小时</w:t>
            </w:r>
          </w:p>
        </w:tc>
        <w:tc>
          <w:tcPr>
            <w:tcW w:w="2090" w:type="dxa"/>
          </w:tcPr>
          <w:p w14:paraId="62346451">
            <w:pPr>
              <w:spacing w:after="400" w:line="400" w:lineRule="exact"/>
            </w:pPr>
            <w:r>
              <w:t>5分钟</w:t>
            </w:r>
          </w:p>
        </w:tc>
      </w:tr>
      <w:tr w14:paraId="021A8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5B035734">
            <w:pPr>
              <w:spacing w:after="400" w:line="400" w:lineRule="exact"/>
            </w:pPr>
            <w:r>
              <w:rPr>
                <w:b/>
              </w:rPr>
              <w:t>能量密度</w:t>
            </w:r>
          </w:p>
        </w:tc>
        <w:tc>
          <w:tcPr>
            <w:tcW w:w="2714" w:type="dxa"/>
          </w:tcPr>
          <w:p w14:paraId="5DAC7DCF">
            <w:pPr>
              <w:spacing w:after="400" w:line="400" w:lineRule="exact"/>
            </w:pPr>
            <w:r>
              <w:t>600Wh/kg（理论上限更高）</w:t>
            </w:r>
          </w:p>
        </w:tc>
        <w:tc>
          <w:tcPr>
            <w:tcW w:w="2180" w:type="dxa"/>
          </w:tcPr>
          <w:p w14:paraId="29411021">
            <w:pPr>
              <w:spacing w:after="400" w:line="400" w:lineRule="exact"/>
            </w:pPr>
            <w:r>
              <w:t>90-140Wh/kg</w:t>
            </w:r>
          </w:p>
        </w:tc>
        <w:tc>
          <w:tcPr>
            <w:tcW w:w="2090" w:type="dxa"/>
          </w:tcPr>
          <w:p w14:paraId="47B6C5A0">
            <w:pPr>
              <w:spacing w:after="400" w:line="400" w:lineRule="exact"/>
            </w:pPr>
            <w:r>
              <w:t>汽油约12</w:t>
            </w:r>
            <w:r>
              <w:rPr>
                <w:rFonts w:hint="eastAsia"/>
                <w:lang w:val="en-US" w:eastAsia="zh-CN"/>
              </w:rPr>
              <w:t>k</w:t>
            </w:r>
            <w:r>
              <w:t>Wh/kg</w:t>
            </w:r>
          </w:p>
        </w:tc>
      </w:tr>
      <w:tr w14:paraId="49792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4" w:type="dxa"/>
          </w:tcPr>
          <w:p w14:paraId="6DE234CF">
            <w:pPr>
              <w:spacing w:after="400" w:line="400" w:lineRule="exact"/>
            </w:pPr>
            <w:r>
              <w:rPr>
                <w:b/>
              </w:rPr>
              <w:t>成本</w:t>
            </w:r>
          </w:p>
        </w:tc>
        <w:tc>
          <w:tcPr>
            <w:tcW w:w="2714" w:type="dxa"/>
          </w:tcPr>
          <w:p w14:paraId="3EF85C0E">
            <w:pPr>
              <w:spacing w:after="400" w:line="400" w:lineRule="exact"/>
            </w:pPr>
            <w:r>
              <w:t>高昂（约60-100万元）</w:t>
            </w:r>
          </w:p>
        </w:tc>
        <w:tc>
          <w:tcPr>
            <w:tcW w:w="2180" w:type="dxa"/>
          </w:tcPr>
          <w:p w14:paraId="45F13A56">
            <w:pPr>
              <w:spacing w:after="400" w:line="400" w:lineRule="exact"/>
            </w:pPr>
            <w:r>
              <w:t>中（补贴</w:t>
            </w:r>
            <w:r>
              <w:rPr>
                <w:rFonts w:hint="eastAsia"/>
                <w:lang w:val="en-US" w:eastAsia="zh-CN"/>
              </w:rPr>
              <w:t>后</w:t>
            </w:r>
            <w:r>
              <w:t>15-30</w:t>
            </w:r>
            <w:r>
              <w:rPr>
                <w:rFonts w:hint="eastAsia"/>
                <w:lang w:val="en-US" w:eastAsia="zh-CN"/>
              </w:rPr>
              <w:t>w元</w:t>
            </w:r>
            <w:r>
              <w:t>）</w:t>
            </w:r>
          </w:p>
        </w:tc>
        <w:tc>
          <w:tcPr>
            <w:tcW w:w="2090" w:type="dxa"/>
          </w:tcPr>
          <w:p w14:paraId="70852F71">
            <w:pPr>
              <w:spacing w:after="400" w:line="400" w:lineRule="exact"/>
            </w:pPr>
            <w:r>
              <w:t>低（10-20万元）</w:t>
            </w:r>
          </w:p>
        </w:tc>
      </w:tr>
    </w:tbl>
    <w:p w14:paraId="5D63499C">
      <w:pPr>
        <w:ind w:firstLine="420" w:firstLineChars="0"/>
        <w:rPr>
          <w:rFonts w:hint="default"/>
          <w:lang w:val="en-US" w:eastAsia="zh-CN"/>
        </w:rPr>
      </w:pPr>
    </w:p>
    <w:p w14:paraId="1F162015">
      <w:pPr>
        <w:widowControl/>
        <w:topLinePunct/>
        <w:spacing w:before="480" w:after="120"/>
        <w:outlineLvl w:val="1"/>
        <w:rPr>
          <w:rFonts w:hint="default"/>
          <w:lang w:val="en-US" w:eastAsia="zh-CN"/>
        </w:rPr>
      </w:pPr>
      <w:bookmarkStart w:id="8" w:name="_Toc6744"/>
      <w:r>
        <w:rPr>
          <w:rFonts w:hint="eastAsia" w:ascii="黑体" w:hAnsi="Times New Roman" w:eastAsia="黑体" w:cs="Times New Roman"/>
          <w:bCs/>
          <w:sz w:val="30"/>
          <w:szCs w:val="30"/>
          <w:lang w:val="en-US" w:eastAsia="zh-CN"/>
        </w:rPr>
        <w:t>二、文献综述</w:t>
      </w:r>
      <w:bookmarkEnd w:id="8"/>
    </w:p>
    <w:p w14:paraId="1406D689">
      <w:pPr>
        <w:widowControl w:val="0"/>
        <w:numPr>
          <w:ilvl w:val="0"/>
          <w:numId w:val="0"/>
        </w:numPr>
        <w:ind w:firstLine="420" w:firstLineChars="0"/>
        <w:jc w:val="both"/>
        <w:rPr>
          <w:rFonts w:hint="default"/>
          <w:lang w:val="en-US" w:eastAsia="zh-CN"/>
        </w:rPr>
      </w:pPr>
      <w:r>
        <w:rPr>
          <w:rFonts w:hint="eastAsia"/>
          <w:lang w:val="en-US" w:eastAsia="zh-CN"/>
        </w:rPr>
        <w:t>本文分别使用知网CNKI数据库与web of Science数据库，搜集了氢能汽车领域近五年216篇相关中文文献，607篇相关英文文献，借助关键词共现软件VOSviewer抽取摘要和主题中的核心关键词，在此基础上进行语义相近关键词融合与消歧工作，并绘制如图1与图2所示的文献热度聚类图、节点关系图。近五年氢能汽车领域的研究主要集中在氢内燃机、燃料电池、储氢、氢能重卡、加氢站定容选址等相关问题。</w:t>
      </w:r>
    </w:p>
    <w:p w14:paraId="40460B82">
      <w:pPr>
        <w:widowControl w:val="0"/>
        <w:numPr>
          <w:ilvl w:val="0"/>
          <w:numId w:val="0"/>
        </w:numPr>
        <w:jc w:val="both"/>
        <w:rPr>
          <w:rFonts w:hint="eastAsia"/>
          <w:lang w:val="en-US" w:eastAsia="zh-CN"/>
        </w:rPr>
      </w:pPr>
      <w:r>
        <w:rPr>
          <w:rFonts w:hint="eastAsia"/>
          <w:lang w:val="en-US" w:eastAsia="zh-CN"/>
        </w:rPr>
        <w:drawing>
          <wp:inline distT="0" distB="0" distL="114300" distR="114300">
            <wp:extent cx="2606675" cy="2218690"/>
            <wp:effectExtent l="0" t="0" r="3175" b="635"/>
            <wp:docPr id="5" name="图片 5" descr="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2"/>
                    <pic:cNvPicPr>
                      <a:picLocks noChangeAspect="1"/>
                    </pic:cNvPicPr>
                  </pic:nvPicPr>
                  <pic:blipFill>
                    <a:blip r:embed="rId5"/>
                    <a:stretch>
                      <a:fillRect/>
                    </a:stretch>
                  </pic:blipFill>
                  <pic:spPr>
                    <a:xfrm>
                      <a:off x="0" y="0"/>
                      <a:ext cx="2606675" cy="2218690"/>
                    </a:xfrm>
                    <a:prstGeom prst="rect">
                      <a:avLst/>
                    </a:prstGeom>
                  </pic:spPr>
                </pic:pic>
              </a:graphicData>
            </a:graphic>
          </wp:inline>
        </w:drawing>
      </w:r>
      <w:r>
        <w:rPr>
          <w:rFonts w:hint="eastAsia"/>
          <w:lang w:val="en-US" w:eastAsia="zh-CN"/>
        </w:rPr>
        <w:drawing>
          <wp:inline distT="0" distB="0" distL="114300" distR="114300">
            <wp:extent cx="2566670" cy="2203450"/>
            <wp:effectExtent l="0" t="0" r="5080" b="6350"/>
            <wp:docPr id="4" name="图片 4"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1"/>
                    <pic:cNvPicPr>
                      <a:picLocks noChangeAspect="1"/>
                    </pic:cNvPicPr>
                  </pic:nvPicPr>
                  <pic:blipFill>
                    <a:blip r:embed="rId6"/>
                    <a:stretch>
                      <a:fillRect/>
                    </a:stretch>
                  </pic:blipFill>
                  <pic:spPr>
                    <a:xfrm>
                      <a:off x="0" y="0"/>
                      <a:ext cx="2566670" cy="2203450"/>
                    </a:xfrm>
                    <a:prstGeom prst="rect">
                      <a:avLst/>
                    </a:prstGeom>
                  </pic:spPr>
                </pic:pic>
              </a:graphicData>
            </a:graphic>
          </wp:inline>
        </w:drawing>
      </w:r>
    </w:p>
    <w:p w14:paraId="418D4A59">
      <w:pPr>
        <w:ind w:firstLine="360" w:firstLineChars="200"/>
        <w:rPr>
          <w:rFonts w:hint="default" w:eastAsiaTheme="minorEastAsia"/>
          <w:sz w:val="18"/>
          <w:szCs w:val="18"/>
          <w:lang w:val="en-US" w:eastAsia="zh-CN"/>
        </w:rPr>
      </w:pPr>
      <w:r>
        <w:rPr>
          <w:rFonts w:hint="eastAsia"/>
          <w:sz w:val="18"/>
          <w:szCs w:val="18"/>
          <w:lang w:val="en-US" w:eastAsia="zh-CN"/>
        </w:rPr>
        <w:t>图1：近五年氢能汽车领域文献热度聚类图        图2：近五年氢能汽车领域文献节点网络图</w:t>
      </w:r>
    </w:p>
    <w:p w14:paraId="7DA6F3A4">
      <w:pPr>
        <w:widowControl w:val="0"/>
        <w:numPr>
          <w:ilvl w:val="0"/>
          <w:numId w:val="0"/>
        </w:numPr>
        <w:ind w:firstLine="420" w:firstLineChars="0"/>
        <w:jc w:val="both"/>
        <w:rPr>
          <w:rFonts w:hint="default"/>
          <w:lang w:val="en-US" w:eastAsia="zh-CN"/>
        </w:rPr>
      </w:pPr>
    </w:p>
    <w:p w14:paraId="4A342F33">
      <w:pPr>
        <w:widowControl w:val="0"/>
        <w:numPr>
          <w:ilvl w:val="0"/>
          <w:numId w:val="0"/>
        </w:numPr>
        <w:ind w:firstLine="420" w:firstLineChars="0"/>
        <w:jc w:val="both"/>
        <w:rPr>
          <w:rFonts w:hint="default"/>
          <w:lang w:val="en-US" w:eastAsia="zh-CN"/>
        </w:rPr>
      </w:pPr>
      <w:r>
        <w:rPr>
          <w:rFonts w:hint="default"/>
          <w:lang w:val="en-US" w:eastAsia="zh-CN"/>
        </w:rPr>
        <w:t>氢能汽车作为清洁能源技术的重要载体，其核心原理是通过氢燃料电池或氢内燃机将氢气的化学能转化为动能。氢燃料电池汽车（FCEV）通过氢氧电化学反应直接发电驱动电机，仅排放水蒸气，其能量转换效率可达50%-60%，且加氢时间仅需3-5分钟，续航里程可达600-800公里，显著优于纯电动汽车</w:t>
      </w:r>
      <w:r>
        <w:rPr>
          <w:rFonts w:hint="eastAsia"/>
          <w:lang w:val="en-US" w:eastAsia="zh-CN"/>
        </w:rPr>
        <w:t>[4]</w:t>
      </w:r>
      <w:r>
        <w:rPr>
          <w:rFonts w:hint="default"/>
          <w:lang w:val="en-US" w:eastAsia="zh-CN"/>
        </w:rPr>
        <w:t>。与燃油车相比，氢能汽车在环保性和能源效率上具有显著优势；与纯电动车相比，其长续航和快速补能特性尤其适用于重载、长途及寒冷环境场景。然而，氢内燃机汽车（HICEV）因需解决氢气燃烧爆震和高温腐蚀问题，技术成熟度较低，目前主流发展方向仍集中于燃料电池路线。</w:t>
      </w:r>
    </w:p>
    <w:p w14:paraId="66B2C5D4">
      <w:pPr>
        <w:widowControl w:val="0"/>
        <w:numPr>
          <w:ilvl w:val="0"/>
          <w:numId w:val="0"/>
        </w:numPr>
        <w:ind w:firstLine="420" w:firstLineChars="0"/>
        <w:jc w:val="both"/>
        <w:rPr>
          <w:rFonts w:hint="default"/>
          <w:lang w:val="en-US" w:eastAsia="zh-CN"/>
        </w:rPr>
      </w:pPr>
    </w:p>
    <w:p w14:paraId="2E84F43C">
      <w:pPr>
        <w:widowControl w:val="0"/>
        <w:numPr>
          <w:ilvl w:val="0"/>
          <w:numId w:val="0"/>
        </w:numPr>
        <w:ind w:firstLine="420" w:firstLineChars="0"/>
        <w:jc w:val="both"/>
        <w:rPr>
          <w:rFonts w:hint="default"/>
          <w:lang w:val="en-US" w:eastAsia="zh-CN"/>
        </w:rPr>
      </w:pPr>
      <w:r>
        <w:rPr>
          <w:rFonts w:hint="default"/>
          <w:lang w:val="en-US" w:eastAsia="zh-CN"/>
        </w:rPr>
        <w:t>当前氢能汽车发展面临多重挑战。技术层面，质子交换膜燃料电池（PEMFC）依赖铂催化剂，成本占比高达40%，且关键材料如碳纸、质子膜的国产化率不足40%，导致整车成本居高不下。储氢技术方面，70MPa高压气态储氢瓶虽已商用，但碳纤维依赖进口，液态储氢能耗高（1.5kWh/kg），固态储氢材料（如镁基合金）仍处于实验室阶段。基础设施方面，全球加氢站仅约1000座，中国占比1/3，但设备利用率不足40%，且单站建设成本超1200万元，严重制约商业化推广</w:t>
      </w:r>
      <w:r>
        <w:rPr>
          <w:rFonts w:hint="eastAsia"/>
          <w:lang w:val="en-US" w:eastAsia="zh-CN"/>
        </w:rPr>
        <w:t>[5]</w:t>
      </w:r>
      <w:r>
        <w:rPr>
          <w:rFonts w:hint="default"/>
          <w:lang w:val="en-US" w:eastAsia="zh-CN"/>
        </w:rPr>
        <w:t>。此外，绿氢制备成本（3-5美元/kg）尚未与传统制氢方式平价，电解水制氢的规模化应用仍需可再生能源电价降至0.25元/kWh以下</w:t>
      </w:r>
      <w:r>
        <w:rPr>
          <w:rFonts w:hint="eastAsia"/>
          <w:lang w:val="en-US" w:eastAsia="zh-CN"/>
        </w:rPr>
        <w:t>[6]</w:t>
      </w:r>
      <w:r>
        <w:rPr>
          <w:rFonts w:hint="default"/>
          <w:lang w:val="en-US" w:eastAsia="zh-CN"/>
        </w:rPr>
        <w:t>。</w:t>
      </w:r>
    </w:p>
    <w:p w14:paraId="3E71557E">
      <w:pPr>
        <w:widowControl w:val="0"/>
        <w:numPr>
          <w:ilvl w:val="0"/>
          <w:numId w:val="0"/>
        </w:numPr>
        <w:ind w:firstLine="420" w:firstLineChars="0"/>
        <w:jc w:val="both"/>
        <w:rPr>
          <w:rFonts w:hint="default"/>
          <w:lang w:val="en-US" w:eastAsia="zh-CN"/>
        </w:rPr>
      </w:pPr>
    </w:p>
    <w:p w14:paraId="309A78CE">
      <w:pPr>
        <w:widowControl w:val="0"/>
        <w:numPr>
          <w:ilvl w:val="0"/>
          <w:numId w:val="0"/>
        </w:numPr>
        <w:ind w:firstLine="420" w:firstLineChars="0"/>
        <w:jc w:val="both"/>
        <w:rPr>
          <w:rFonts w:hint="default"/>
          <w:lang w:val="en-US" w:eastAsia="zh-CN"/>
        </w:rPr>
      </w:pPr>
      <w:r>
        <w:rPr>
          <w:rFonts w:hint="default"/>
          <w:lang w:val="en-US" w:eastAsia="zh-CN"/>
        </w:rPr>
        <w:t>未来氢能汽车的发展需技术、政策与产业链协同突破。技术路径上，非贵金属催化剂（如Fe-N-C）研发已取得进展，活性达铂碳的85%，固态储氢材料密度提升至7.6wt%，有望降低成本并提升安全性</w:t>
      </w:r>
      <w:r>
        <w:rPr>
          <w:rFonts w:hint="eastAsia"/>
          <w:lang w:val="en-US" w:eastAsia="zh-CN"/>
        </w:rPr>
        <w:t>[7]</w:t>
      </w:r>
      <w:r>
        <w:rPr>
          <w:rFonts w:hint="default"/>
          <w:lang w:val="en-US" w:eastAsia="zh-CN"/>
        </w:rPr>
        <w:t>。政策层面，中国《氢能产业发展中长期规划（2021-2035年）》明确氢能战略地位，地方补贴（如山东高速免费）和碳市场机制可加速产业落地。产业链协同方面，“风光储氢”一体化模式可优化可再生能源制氢效率，车网互动（V2H）和跨产业（如化工、冶金）融合将推动氢能生态重构。国际经验表明，碳价达到80美元/吨时，氢燃料电池重卡渗透率可提升至23%，凸显政策组合设计的重要性</w:t>
      </w:r>
      <w:r>
        <w:rPr>
          <w:rFonts w:hint="eastAsia"/>
          <w:lang w:val="en-US" w:eastAsia="zh-CN"/>
        </w:rPr>
        <w:t>[8]</w:t>
      </w:r>
      <w:r>
        <w:rPr>
          <w:rFonts w:hint="default"/>
          <w:lang w:val="en-US" w:eastAsia="zh-CN"/>
        </w:rPr>
        <w:t>。</w:t>
      </w:r>
    </w:p>
    <w:p w14:paraId="15CF5802">
      <w:pPr>
        <w:widowControl/>
        <w:topLinePunct/>
        <w:spacing w:before="480" w:after="120"/>
        <w:outlineLvl w:val="1"/>
        <w:rPr>
          <w:rFonts w:hint="default" w:ascii="黑体" w:hAnsi="Times New Roman" w:eastAsia="黑体" w:cs="Times New Roman"/>
          <w:bCs/>
          <w:sz w:val="30"/>
          <w:szCs w:val="30"/>
          <w:lang w:val="en-US" w:eastAsia="zh-CN"/>
        </w:rPr>
      </w:pPr>
      <w:bookmarkStart w:id="9" w:name="_Toc17550"/>
      <w:r>
        <w:rPr>
          <w:rFonts w:hint="default" w:ascii="黑体" w:hAnsi="Times New Roman" w:eastAsia="黑体" w:cs="Times New Roman"/>
          <w:bCs/>
          <w:sz w:val="30"/>
          <w:szCs w:val="30"/>
          <w:lang w:val="en-US" w:eastAsia="zh-CN"/>
        </w:rPr>
        <w:t>三、分析框架构建：氢基能源革命的系统变革维度</w:t>
      </w:r>
      <w:bookmarkEnd w:id="9"/>
    </w:p>
    <w:p w14:paraId="5D148A31">
      <w:pPr>
        <w:widowControl/>
        <w:topLinePunct/>
        <w:spacing w:before="240" w:after="120"/>
        <w:outlineLvl w:val="2"/>
        <w:rPr>
          <w:rFonts w:hint="default" w:ascii="黑体" w:hAnsi="Times New Roman" w:eastAsia="黑体" w:cs="Times New Roman"/>
          <w:bCs/>
          <w:sz w:val="28"/>
          <w:szCs w:val="28"/>
          <w:lang w:val="en-US" w:eastAsia="zh-CN"/>
        </w:rPr>
      </w:pPr>
      <w:bookmarkStart w:id="10" w:name="_Toc10843"/>
      <w:r>
        <w:rPr>
          <w:rFonts w:hint="default" w:ascii="黑体" w:hAnsi="Times New Roman" w:eastAsia="黑体" w:cs="Times New Roman"/>
          <w:bCs/>
          <w:sz w:val="28"/>
          <w:szCs w:val="28"/>
          <w:lang w:val="en-US" w:eastAsia="zh-CN"/>
        </w:rPr>
        <w:t>3.1 技术代际跃迁：从热机范式到电化学体系的动力重构</w:t>
      </w:r>
      <w:bookmarkEnd w:id="10"/>
    </w:p>
    <w:p w14:paraId="40EFDA6B">
      <w:pPr>
        <w:widowControl w:val="0"/>
        <w:numPr>
          <w:ilvl w:val="0"/>
          <w:numId w:val="0"/>
        </w:numPr>
        <w:ind w:firstLine="420" w:firstLineChars="0"/>
        <w:jc w:val="both"/>
        <w:rPr>
          <w:rFonts w:hint="default"/>
          <w:lang w:val="en-US" w:eastAsia="zh-CN"/>
        </w:rPr>
      </w:pPr>
      <w:r>
        <w:rPr>
          <w:rFonts w:hint="default"/>
          <w:lang w:val="en-US" w:eastAsia="zh-CN"/>
        </w:rPr>
        <w:t>氢基能源革命推动汽车动力系统从热机范式向电化学体系的技术代际跃迁，其核心在于突破传统内燃机的热力学效率边界并重构能量转化逻辑。以卡诺循环为基础的内燃机技术受限于热效率理论阈值（最高约60%），实际商用汽油机热效率仅38%-42%，柴油机为45%-50%，且其效率提升已逼近材料与燃烧动力学的极限</w:t>
      </w:r>
      <w:r>
        <w:rPr>
          <w:rFonts w:hint="eastAsia"/>
          <w:lang w:val="en-US" w:eastAsia="zh-CN"/>
        </w:rPr>
        <w:t>[7]</w:t>
      </w:r>
      <w:r>
        <w:rPr>
          <w:rFonts w:hint="default"/>
          <w:lang w:val="en-US" w:eastAsia="zh-CN"/>
        </w:rPr>
        <w:t>。相比之下，质子交换膜燃料电池（PEMFC）通过氢氧电化学反应直接发电，能量转换效率可达52%-64%，摆脱了卡诺循环约束，同时实现零碳排放。这一技术跃迁不仅体现在效率提升，更在于能源载体的根本性转变——氢气的质量能量密度达汽油的2.8倍，为长续航、重载场景提供了物理基础。当前电解水制氢技术的突破进一步强化了这一优势，如固体氧化物电解器（SOEC）在工业余热耦合下系统效率可达85%，显著降低绿氢制备能耗，为氢基动力系统提供清洁能源保障</w:t>
      </w:r>
      <w:r>
        <w:rPr>
          <w:rFonts w:hint="eastAsia"/>
          <w:lang w:val="en-US" w:eastAsia="zh-CN"/>
        </w:rPr>
        <w:t>[9]</w:t>
      </w:r>
      <w:r>
        <w:rPr>
          <w:rFonts w:hint="default"/>
          <w:lang w:val="en-US" w:eastAsia="zh-CN"/>
        </w:rPr>
        <w:t>。</w:t>
      </w:r>
    </w:p>
    <w:p w14:paraId="79D0E0CB">
      <w:pPr>
        <w:widowControl w:val="0"/>
        <w:numPr>
          <w:ilvl w:val="0"/>
          <w:numId w:val="0"/>
        </w:numPr>
        <w:ind w:firstLine="420" w:firstLineChars="0"/>
        <w:jc w:val="both"/>
        <w:rPr>
          <w:rFonts w:hint="eastAsia" w:eastAsia="宋体"/>
          <w:lang w:val="en-US" w:eastAsia="zh-CN"/>
        </w:rPr>
      </w:pPr>
      <w:r>
        <w:rPr>
          <w:rFonts w:hint="eastAsia" w:eastAsia="宋体"/>
          <w:lang w:val="en-US" w:eastAsia="zh-CN"/>
        </w:rPr>
        <w:drawing>
          <wp:inline distT="0" distB="0" distL="114300" distR="114300">
            <wp:extent cx="4805045" cy="1633855"/>
            <wp:effectExtent l="0" t="0" r="5080" b="4445"/>
            <wp:docPr id="7" name="图片 7" descr="1ec72d571154d41cb93c6d89bea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ec72d571154d41cb93c6d89bea9079"/>
                    <pic:cNvPicPr>
                      <a:picLocks noChangeAspect="1"/>
                    </pic:cNvPicPr>
                  </pic:nvPicPr>
                  <pic:blipFill>
                    <a:blip r:embed="rId7"/>
                    <a:stretch>
                      <a:fillRect/>
                    </a:stretch>
                  </pic:blipFill>
                  <pic:spPr>
                    <a:xfrm>
                      <a:off x="0" y="0"/>
                      <a:ext cx="4805045" cy="1633855"/>
                    </a:xfrm>
                    <a:prstGeom prst="rect">
                      <a:avLst/>
                    </a:prstGeom>
                  </pic:spPr>
                </pic:pic>
              </a:graphicData>
            </a:graphic>
          </wp:inline>
        </w:drawing>
      </w:r>
    </w:p>
    <w:p w14:paraId="12EA4DDD">
      <w:pPr>
        <w:widowControl w:val="0"/>
        <w:numPr>
          <w:ilvl w:val="0"/>
          <w:numId w:val="0"/>
        </w:numPr>
        <w:ind w:firstLine="420" w:firstLineChars="0"/>
        <w:jc w:val="center"/>
        <w:rPr>
          <w:rFonts w:hint="default" w:eastAsia="宋体"/>
          <w:lang w:val="en-US" w:eastAsia="zh-CN"/>
        </w:rPr>
      </w:pPr>
      <w:r>
        <w:rPr>
          <w:rFonts w:hint="eastAsia"/>
          <w:sz w:val="18"/>
          <w:szCs w:val="18"/>
          <w:lang w:val="en-US" w:eastAsia="zh-CN"/>
        </w:rPr>
        <w:t>图3：氢内燃机结构图</w:t>
      </w:r>
    </w:p>
    <w:p w14:paraId="1FF4A44D">
      <w:pPr>
        <w:widowControl w:val="0"/>
        <w:numPr>
          <w:ilvl w:val="0"/>
          <w:numId w:val="0"/>
        </w:numPr>
        <w:ind w:firstLine="420" w:firstLineChars="0"/>
        <w:jc w:val="both"/>
        <w:rPr>
          <w:rFonts w:hint="default"/>
          <w:lang w:val="en-US" w:eastAsia="zh-CN"/>
        </w:rPr>
      </w:pPr>
    </w:p>
    <w:p w14:paraId="05738B1D">
      <w:pPr>
        <w:widowControl w:val="0"/>
        <w:numPr>
          <w:ilvl w:val="0"/>
          <w:numId w:val="0"/>
        </w:numPr>
        <w:ind w:firstLine="420" w:firstLineChars="0"/>
        <w:jc w:val="both"/>
        <w:rPr>
          <w:rFonts w:hint="default"/>
          <w:lang w:val="en-US" w:eastAsia="zh-CN"/>
        </w:rPr>
      </w:pPr>
      <w:r>
        <w:rPr>
          <w:rFonts w:hint="default"/>
          <w:lang w:val="en-US" w:eastAsia="zh-CN"/>
        </w:rPr>
        <w:t>动力重构的技术路径呈现多元化竞合格局，不同制氢与储运技术的成熟度差异驱动产业选择。碱性电解器（ALK）虽技术成熟（电解效率约75%），但面临效率瓶颈和碱液污染风险；质子交换膜电解器（PEM）效率提升至80%，但其贵金属催化剂依赖导致成本居高不下。更具颠覆性的是阴离子交换膜（AEM）技术，通过非贵金属催化剂和压差运行模式，兼具成本与效率优势，但其离子传导膜稳定性仍需突破</w:t>
      </w:r>
      <w:r>
        <w:rPr>
          <w:rFonts w:hint="eastAsia"/>
          <w:lang w:val="en-US" w:eastAsia="zh-CN"/>
        </w:rPr>
        <w:t>[10]</w:t>
      </w:r>
      <w:r>
        <w:rPr>
          <w:rFonts w:hint="default"/>
          <w:lang w:val="en-US" w:eastAsia="zh-CN"/>
        </w:rPr>
        <w:t>。储氢领域，70MPa IV型高压气态储氢已实现5.7wt%质量密度，而镁基固态储氢材料通过解吸焓优化（降至75kJ/mol H2），循环稳定性突破2000次，推动车载储氢系统向12MJ/kg能量密度演进。这些技术创新形成“制-储-用”协同链条，例如SOEC系统通过水蒸气与二氧化碳共电解生成合成气</w:t>
      </w:r>
      <w:r>
        <w:rPr>
          <w:rFonts w:hint="eastAsia"/>
          <w:lang w:val="en-US" w:eastAsia="zh-CN"/>
        </w:rPr>
        <w:t>[11]</w:t>
      </w:r>
      <w:r>
        <w:rPr>
          <w:rFonts w:hint="default"/>
          <w:lang w:val="en-US" w:eastAsia="zh-CN"/>
        </w:rPr>
        <w:t>，为氢-电-燃料多能耦合提供了新路径。</w:t>
      </w:r>
    </w:p>
    <w:p w14:paraId="34F2C1FB">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73675" cy="1415415"/>
            <wp:effectExtent l="0" t="0" r="3175" b="381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8"/>
                    <a:stretch>
                      <a:fillRect/>
                    </a:stretch>
                  </pic:blipFill>
                  <pic:spPr>
                    <a:xfrm>
                      <a:off x="0" y="0"/>
                      <a:ext cx="5273675" cy="1415415"/>
                    </a:xfrm>
                    <a:prstGeom prst="rect">
                      <a:avLst/>
                    </a:prstGeom>
                    <a:noFill/>
                    <a:ln w="9525">
                      <a:noFill/>
                    </a:ln>
                  </pic:spPr>
                </pic:pic>
              </a:graphicData>
            </a:graphic>
          </wp:inline>
        </w:drawing>
      </w:r>
    </w:p>
    <w:p w14:paraId="4B74E056">
      <w:pPr>
        <w:widowControl w:val="0"/>
        <w:numPr>
          <w:ilvl w:val="0"/>
          <w:numId w:val="0"/>
        </w:numPr>
        <w:ind w:firstLine="420" w:firstLineChars="0"/>
        <w:jc w:val="center"/>
        <w:rPr>
          <w:rFonts w:hint="default" w:eastAsia="宋体"/>
          <w:lang w:val="en-US" w:eastAsia="zh-CN"/>
        </w:rPr>
      </w:pPr>
      <w:r>
        <w:rPr>
          <w:rFonts w:hint="eastAsia"/>
          <w:sz w:val="18"/>
          <w:szCs w:val="18"/>
          <w:lang w:val="en-US" w:eastAsia="zh-CN"/>
        </w:rPr>
        <w:t>图4：PEM电解制氢技术示意图</w:t>
      </w:r>
    </w:p>
    <w:p w14:paraId="720187D9">
      <w:pPr>
        <w:widowControl w:val="0"/>
        <w:numPr>
          <w:ilvl w:val="0"/>
          <w:numId w:val="0"/>
        </w:numPr>
        <w:jc w:val="both"/>
        <w:rPr>
          <w:rFonts w:hint="default" w:ascii="宋体" w:hAnsi="宋体" w:eastAsia="宋体" w:cs="宋体"/>
          <w:sz w:val="24"/>
          <w:szCs w:val="24"/>
          <w:lang w:val="en-US" w:eastAsia="zh-CN"/>
        </w:rPr>
      </w:pPr>
    </w:p>
    <w:p w14:paraId="4662DB50">
      <w:pPr>
        <w:widowControl w:val="0"/>
        <w:numPr>
          <w:ilvl w:val="0"/>
          <w:numId w:val="0"/>
        </w:numPr>
        <w:ind w:firstLine="420" w:firstLineChars="0"/>
        <w:jc w:val="both"/>
        <w:rPr>
          <w:rFonts w:hint="default"/>
          <w:lang w:val="en-US" w:eastAsia="zh-CN"/>
        </w:rPr>
      </w:pPr>
      <w:r>
        <w:rPr>
          <w:rFonts w:hint="default"/>
          <w:lang w:val="en-US" w:eastAsia="zh-CN"/>
        </w:rPr>
        <w:t>技术经济性拐点的逼近标志着代际跃迁进入产业化临界阶段。当PEMFC电堆成本降至30美元/kW、绿氢价格突破2.5美元/kg时，氢燃料电池重卡的全生命周期成本（TCO）将与柴油车持平</w:t>
      </w:r>
      <w:r>
        <w:rPr>
          <w:rFonts w:hint="eastAsia"/>
          <w:lang w:val="en-US" w:eastAsia="zh-CN"/>
        </w:rPr>
        <w:t>[12]</w:t>
      </w:r>
      <w:r>
        <w:rPr>
          <w:rFonts w:hint="default"/>
          <w:lang w:val="en-US" w:eastAsia="zh-CN"/>
        </w:rPr>
        <w:t>。这一目标依赖材料级创新：Fe-N-C非贵金属催化剂的氧还原活性已达铂碳催化剂的85%，双极板接触电阻降至3mΩ·cm²，推动电堆功率密度突破4.0kW/L。同时，电解水制氢设备与可再生能源的协同发展加速成本下降，预计2050年电解制氢成本将降至12-13元/公斤，叠加碳税机制后将超越化石能源制氢经济性</w:t>
      </w:r>
      <w:r>
        <w:rPr>
          <w:rFonts w:hint="eastAsia"/>
          <w:lang w:val="en-US" w:eastAsia="zh-CN"/>
        </w:rPr>
        <w:t>[8]</w:t>
      </w:r>
      <w:r>
        <w:rPr>
          <w:rFonts w:hint="default"/>
          <w:lang w:val="en-US" w:eastAsia="zh-CN"/>
        </w:rPr>
        <w:t>。这种技术-成本-政策的正反馈循环，正在重塑汽车动力系统的技术轨道，使氢基电化学体系成为突破热机范式锁定的关键杠杆。</w:t>
      </w:r>
    </w:p>
    <w:p w14:paraId="7E50A9AC">
      <w:pPr>
        <w:widowControl w:val="0"/>
        <w:numPr>
          <w:ilvl w:val="0"/>
          <w:numId w:val="0"/>
        </w:numPr>
        <w:ind w:firstLine="420" w:firstLineChars="0"/>
        <w:jc w:val="center"/>
        <w:rPr>
          <w:rFonts w:hint="default"/>
          <w:lang w:val="en-US" w:eastAsia="zh-CN"/>
        </w:rPr>
      </w:pPr>
      <w:r>
        <w:rPr>
          <w:rFonts w:hint="default"/>
          <w:lang w:val="en-US" w:eastAsia="zh-CN"/>
        </w:rPr>
        <w:drawing>
          <wp:inline distT="0" distB="0" distL="114300" distR="114300">
            <wp:extent cx="3810000" cy="2133600"/>
            <wp:effectExtent l="0" t="0" r="0" b="0"/>
            <wp:docPr id="9" name="图片 9" descr="9882bc9ef87de8ddbd7d24c161b22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882bc9ef87de8ddbd7d24c161b22ff"/>
                    <pic:cNvPicPr>
                      <a:picLocks noChangeAspect="1"/>
                    </pic:cNvPicPr>
                  </pic:nvPicPr>
                  <pic:blipFill>
                    <a:blip r:embed="rId9"/>
                    <a:stretch>
                      <a:fillRect/>
                    </a:stretch>
                  </pic:blipFill>
                  <pic:spPr>
                    <a:xfrm>
                      <a:off x="0" y="0"/>
                      <a:ext cx="3810000" cy="2133600"/>
                    </a:xfrm>
                    <a:prstGeom prst="rect">
                      <a:avLst/>
                    </a:prstGeom>
                  </pic:spPr>
                </pic:pic>
              </a:graphicData>
            </a:graphic>
          </wp:inline>
        </w:drawing>
      </w:r>
    </w:p>
    <w:p w14:paraId="361BE3C0">
      <w:pPr>
        <w:widowControl w:val="0"/>
        <w:numPr>
          <w:ilvl w:val="0"/>
          <w:numId w:val="0"/>
        </w:numPr>
        <w:ind w:firstLine="420" w:firstLineChars="0"/>
        <w:jc w:val="center"/>
        <w:rPr>
          <w:rFonts w:hint="default"/>
          <w:lang w:val="en-US" w:eastAsia="zh-CN"/>
        </w:rPr>
      </w:pPr>
      <w:r>
        <w:rPr>
          <w:rFonts w:hint="eastAsia"/>
          <w:sz w:val="18"/>
          <w:szCs w:val="18"/>
          <w:lang w:val="en-US" w:eastAsia="zh-CN"/>
        </w:rPr>
        <w:t>图5：氢能汽车两种类别：氢内燃机汽车、氢燃料电池汽车</w:t>
      </w:r>
    </w:p>
    <w:p w14:paraId="7B416988">
      <w:pPr>
        <w:widowControl/>
        <w:topLinePunct/>
        <w:spacing w:before="240" w:after="120"/>
        <w:outlineLvl w:val="2"/>
        <w:rPr>
          <w:rFonts w:hint="default" w:ascii="黑体" w:hAnsi="Times New Roman" w:eastAsia="黑体" w:cs="Times New Roman"/>
          <w:bCs/>
          <w:sz w:val="28"/>
          <w:szCs w:val="28"/>
          <w:lang w:val="en-US" w:eastAsia="zh-CN"/>
        </w:rPr>
      </w:pPr>
      <w:bookmarkStart w:id="11" w:name="_Toc26332"/>
      <w:r>
        <w:rPr>
          <w:rFonts w:hint="default" w:ascii="黑体" w:hAnsi="Times New Roman" w:eastAsia="黑体" w:cs="Times New Roman"/>
          <w:bCs/>
          <w:sz w:val="28"/>
          <w:szCs w:val="28"/>
          <w:lang w:val="en-US" w:eastAsia="zh-CN"/>
        </w:rPr>
        <w:t>3.2 产业生态重构：能源网络与交通载体的协同进化</w:t>
      </w:r>
      <w:bookmarkEnd w:id="11"/>
    </w:p>
    <w:p w14:paraId="684989AA">
      <w:pPr>
        <w:widowControl w:val="0"/>
        <w:numPr>
          <w:ilvl w:val="0"/>
          <w:numId w:val="0"/>
        </w:numPr>
        <w:ind w:firstLine="420" w:firstLineChars="0"/>
        <w:jc w:val="both"/>
        <w:rPr>
          <w:rFonts w:hint="default"/>
          <w:lang w:val="en-US" w:eastAsia="zh-CN"/>
        </w:rPr>
      </w:pPr>
      <w:r>
        <w:rPr>
          <w:rFonts w:hint="default"/>
          <w:lang w:val="en-US" w:eastAsia="zh-CN"/>
        </w:rPr>
        <w:t>氢基能源革命驱动下的产业生态重构，本质上是能源网络与交通载体在物理空间与价值流动层面的深度耦合。这一协同进化首先体现为能源生产-储运-消费体系的分布式重构：依托"风光氢储一体化"模式，西北可再生能源富集区与东部氢能消费市场形成"西氢东送"格局，例如新疆准东基地通过2000公里输氢管道向长三角输送绿氢，运输成本降至0.8元/公斤·千公里，较液氢槽车降低70%</w:t>
      </w:r>
      <w:r>
        <w:rPr>
          <w:rFonts w:hint="eastAsia"/>
          <w:lang w:val="en-US" w:eastAsia="zh-CN"/>
        </w:rPr>
        <w:t>[13]</w:t>
      </w:r>
      <w:r>
        <w:rPr>
          <w:rFonts w:hint="default"/>
          <w:lang w:val="en-US" w:eastAsia="zh-CN"/>
        </w:rPr>
        <w:t>。交通需求侧则反向牵引能源网络拓扑优化，上海港氢能重卡日均80kg氢耗量倒逼加氢站密度提升至每百公里2.5座，而张家港"氢光互补"智能微电网通过氢储能实现10万户家庭用电调节，验证了交通能源双向赋能的可行性</w:t>
      </w:r>
      <w:r>
        <w:rPr>
          <w:rFonts w:hint="eastAsia"/>
          <w:lang w:val="en-US" w:eastAsia="zh-CN"/>
        </w:rPr>
        <w:t>[14]</w:t>
      </w:r>
      <w:r>
        <w:rPr>
          <w:rFonts w:hint="default"/>
          <w:lang w:val="en-US" w:eastAsia="zh-CN"/>
        </w:rPr>
        <w:t>。这种供需互动机制使氢能基础设施投资回报周期从12年压缩至8年，推动产业生态从线性链条向网状结构跃迁。</w:t>
      </w:r>
    </w:p>
    <w:p w14:paraId="7352F274">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73675" cy="1852930"/>
            <wp:effectExtent l="0" t="0" r="3175" b="4445"/>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0"/>
                    <a:stretch>
                      <a:fillRect/>
                    </a:stretch>
                  </pic:blipFill>
                  <pic:spPr>
                    <a:xfrm>
                      <a:off x="0" y="0"/>
                      <a:ext cx="5273675" cy="1852930"/>
                    </a:xfrm>
                    <a:prstGeom prst="rect">
                      <a:avLst/>
                    </a:prstGeom>
                    <a:noFill/>
                    <a:ln w="9525">
                      <a:noFill/>
                    </a:ln>
                  </pic:spPr>
                </pic:pic>
              </a:graphicData>
            </a:graphic>
          </wp:inline>
        </w:drawing>
      </w:r>
    </w:p>
    <w:p w14:paraId="0D9E89AC">
      <w:pPr>
        <w:widowControl w:val="0"/>
        <w:numPr>
          <w:ilvl w:val="0"/>
          <w:numId w:val="0"/>
        </w:numPr>
        <w:jc w:val="center"/>
        <w:rPr>
          <w:rFonts w:hint="default" w:ascii="宋体" w:hAnsi="宋体" w:eastAsia="宋体" w:cs="宋体"/>
          <w:sz w:val="24"/>
          <w:szCs w:val="24"/>
          <w:lang w:val="en-US" w:eastAsia="zh-CN"/>
        </w:rPr>
      </w:pPr>
      <w:r>
        <w:rPr>
          <w:rFonts w:hint="eastAsia"/>
          <w:sz w:val="18"/>
          <w:szCs w:val="18"/>
          <w:lang w:val="en-US" w:eastAsia="zh-CN"/>
        </w:rPr>
        <w:t>图6："氢光互补"智能微电网优化配置架构图</w:t>
      </w:r>
    </w:p>
    <w:p w14:paraId="250975FC">
      <w:pPr>
        <w:widowControl w:val="0"/>
        <w:numPr>
          <w:ilvl w:val="0"/>
          <w:numId w:val="0"/>
        </w:numPr>
        <w:ind w:firstLine="420" w:firstLineChars="0"/>
        <w:jc w:val="both"/>
        <w:rPr>
          <w:rFonts w:hint="default"/>
          <w:lang w:val="en-US" w:eastAsia="zh-CN"/>
        </w:rPr>
      </w:pPr>
      <w:r>
        <w:rPr>
          <w:rFonts w:hint="default"/>
          <w:lang w:val="en-US" w:eastAsia="zh-CN"/>
        </w:rPr>
        <w:t>技术标准与商业模式的协同突破加速生态重构进程。纵向整合方面，亿华通与旭阳集团的战略重组实现灰氢低成本优势（10元/kg）与绿氢技术布局的互补，将绿氢成本拉低至15元/kg以下，并通过400条运输线路构建"氢能走廊"</w:t>
      </w:r>
      <w:r>
        <w:rPr>
          <w:rFonts w:hint="eastAsia"/>
          <w:lang w:val="en-US" w:eastAsia="zh-CN"/>
        </w:rPr>
        <w:t>[14]</w:t>
      </w:r>
      <w:r>
        <w:rPr>
          <w:rFonts w:hint="default"/>
          <w:lang w:val="en-US" w:eastAsia="zh-CN"/>
        </w:rPr>
        <w:t>。横向融合则催生跨产业价值网络：佛山"氢-电-热"多能流协同试点使居民电费下降30%，而金风科技200万千瓦风电制氢项目年减排70万吨CO₂，拓展氢能在航运脱碳领域的应用。当氢能重卡渗透率达23%时，可拉动绿氢需求增长300%，而绿氢价格每下降1元/kg将推动燃料电池汽车保有量提升15%，这种正反馈机制驱动产业生态从机械叠加转向有机共生</w:t>
      </w:r>
      <w:r>
        <w:rPr>
          <w:rFonts w:hint="eastAsia"/>
          <w:lang w:val="en-US" w:eastAsia="zh-CN"/>
        </w:rPr>
        <w:t>[15]</w:t>
      </w:r>
      <w:r>
        <w:rPr>
          <w:rFonts w:hint="default"/>
          <w:lang w:val="en-US" w:eastAsia="zh-CN"/>
        </w:rPr>
        <w:t>。</w:t>
      </w:r>
    </w:p>
    <w:p w14:paraId="2B4A5874">
      <w:pPr>
        <w:widowControl/>
        <w:topLinePunct/>
        <w:spacing w:before="480" w:after="120"/>
        <w:outlineLvl w:val="1"/>
        <w:rPr>
          <w:rFonts w:hint="default" w:ascii="黑体" w:hAnsi="Times New Roman" w:eastAsia="黑体" w:cs="Times New Roman"/>
          <w:bCs/>
          <w:sz w:val="30"/>
          <w:szCs w:val="30"/>
          <w:lang w:val="en-US" w:eastAsia="zh-CN"/>
        </w:rPr>
      </w:pPr>
      <w:bookmarkStart w:id="12" w:name="_Toc22030"/>
      <w:r>
        <w:rPr>
          <w:rFonts w:hint="default" w:ascii="黑体" w:hAnsi="Times New Roman" w:eastAsia="黑体" w:cs="Times New Roman"/>
          <w:bCs/>
          <w:sz w:val="30"/>
          <w:szCs w:val="30"/>
          <w:lang w:val="en-US" w:eastAsia="zh-CN"/>
        </w:rPr>
        <w:t>四、三维跃迁路径：技术-产业-制度的协同突破</w:t>
      </w:r>
      <w:bookmarkEnd w:id="12"/>
    </w:p>
    <w:p w14:paraId="6016F33D">
      <w:pPr>
        <w:widowControl/>
        <w:topLinePunct/>
        <w:spacing w:before="240" w:after="120"/>
        <w:outlineLvl w:val="2"/>
        <w:rPr>
          <w:rFonts w:hint="default" w:ascii="黑体" w:hAnsi="Times New Roman" w:eastAsia="黑体" w:cs="Times New Roman"/>
          <w:bCs/>
          <w:sz w:val="28"/>
          <w:szCs w:val="28"/>
          <w:lang w:val="en-US" w:eastAsia="zh-CN"/>
        </w:rPr>
      </w:pPr>
      <w:bookmarkStart w:id="13" w:name="_Toc3847"/>
      <w:r>
        <w:rPr>
          <w:rFonts w:hint="default" w:ascii="黑体" w:hAnsi="Times New Roman" w:eastAsia="黑体" w:cs="Times New Roman"/>
          <w:bCs/>
          <w:sz w:val="28"/>
          <w:szCs w:val="28"/>
          <w:lang w:val="en-US" w:eastAsia="zh-CN"/>
        </w:rPr>
        <w:t>4.1 技术代际跃迁的突破路径</w:t>
      </w:r>
      <w:bookmarkEnd w:id="13"/>
    </w:p>
    <w:p w14:paraId="7079835F">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textAlignment w:val="baseline"/>
        <w:rPr>
          <w:rFonts w:hint="eastAsia" w:ascii="黑体" w:hAnsi="Times New Roman" w:eastAsia="黑体" w:cs="Times New Roman"/>
          <w:b w:val="0"/>
          <w:bCs/>
          <w:kern w:val="2"/>
          <w:sz w:val="24"/>
          <w:szCs w:val="24"/>
          <w:lang w:val="en-US" w:eastAsia="zh-CN" w:bidi="ar-SA"/>
        </w:rPr>
      </w:pPr>
      <w:r>
        <w:rPr>
          <w:rFonts w:hint="default" w:ascii="黑体" w:hAnsi="Times New Roman" w:eastAsia="黑体" w:cs="Times New Roman"/>
          <w:b w:val="0"/>
          <w:bCs/>
          <w:kern w:val="2"/>
          <w:sz w:val="24"/>
          <w:szCs w:val="24"/>
          <w:lang w:val="en-US" w:eastAsia="zh-CN" w:bidi="ar-SA"/>
        </w:rPr>
        <w:t>4.1.1 燃料电池电堆性能的跨代提升</w:t>
      </w:r>
    </w:p>
    <w:p w14:paraId="35A9976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燃料电池电堆的技术跃迁聚焦于功率密度、耐久性与成本的三重突破。当前主流PEMFC电堆体积功率密度已达4.0kW/L（丰田Mirai二代），但距离美国能源部（DOE）2025年目标（6.0kW/L）仍有显著差距。突破路径首先指向催化剂层创新：Fe-N-C非贵金属催化剂的氧还原反应（ORR）质量活性已提升至2.1A/cm³@0.8V，接近铂碳催化剂的85%，结合梯度化电极设计可将铂载量压缩至0.05mg/cm²，较现有水平降低83%。极板技术则通过超薄钛基复合板材（厚度0.08mm）与磁控溅射涂层（接触电阻&lt;2mΩ·cm²）实现轻量化与耐腐蚀性协同，支撑电堆功率密度向5.5kW/L演进</w:t>
      </w:r>
      <w:r>
        <w:rPr>
          <w:rFonts w:hint="eastAsia" w:cstheme="minorBidi"/>
          <w:kern w:val="2"/>
          <w:sz w:val="21"/>
          <w:szCs w:val="24"/>
          <w:lang w:val="en-US" w:eastAsia="zh-CN" w:bidi="ar-SA"/>
        </w:rPr>
        <w:t>[16][17]</w:t>
      </w:r>
      <w:r>
        <w:rPr>
          <w:rFonts w:hint="default" w:asciiTheme="minorHAnsi" w:hAnsiTheme="minorHAnsi" w:eastAsiaTheme="minorEastAsia" w:cstheme="minorBidi"/>
          <w:kern w:val="2"/>
          <w:sz w:val="21"/>
          <w:szCs w:val="24"/>
          <w:lang w:val="en-US" w:eastAsia="zh-CN" w:bidi="ar-SA"/>
        </w:rPr>
        <w:t>。更底层的创新在于质子交换膜的化学改性：全氟磺酸/聚四氟乙烯（PFSA/PTFE）共混膜在50%湿度下的质子传导率突破0.18S/cm，较传统Nafion膜提升40%，同时机械强度增强至35MPa，使电堆寿命从1.5万小时延长至3万小时</w:t>
      </w:r>
      <w:r>
        <w:rPr>
          <w:rFonts w:hint="eastAsia" w:cstheme="minorBidi"/>
          <w:kern w:val="2"/>
          <w:sz w:val="21"/>
          <w:szCs w:val="24"/>
          <w:lang w:val="en-US" w:eastAsia="zh-CN" w:bidi="ar-SA"/>
        </w:rPr>
        <w:t>[17][18]</w:t>
      </w:r>
      <w:r>
        <w:rPr>
          <w:rFonts w:hint="default" w:asciiTheme="minorHAnsi" w:hAnsiTheme="minorHAnsi" w:eastAsiaTheme="minorEastAsia" w:cstheme="minorBidi"/>
          <w:kern w:val="2"/>
          <w:sz w:val="21"/>
          <w:szCs w:val="24"/>
          <w:lang w:val="en-US" w:eastAsia="zh-CN" w:bidi="ar-SA"/>
        </w:rPr>
        <w:t>。这些材料级突破推动电堆成本以年均12%速率下降，预计2028年达到$28/kW的产业化临界点</w:t>
      </w:r>
      <w:r>
        <w:rPr>
          <w:rFonts w:hint="eastAsia" w:cstheme="minorBidi"/>
          <w:kern w:val="2"/>
          <w:sz w:val="21"/>
          <w:szCs w:val="24"/>
          <w:lang w:val="en-US" w:eastAsia="zh-CN" w:bidi="ar-SA"/>
        </w:rPr>
        <w:t>。</w:t>
      </w:r>
      <w:r>
        <w:rPr>
          <w:rFonts w:hint="eastAsia" w:cstheme="minorBidi"/>
          <w:kern w:val="2"/>
          <w:sz w:val="21"/>
          <w:szCs w:val="24"/>
          <w:lang w:val="en-US" w:eastAsia="zh-CN" w:bidi="ar-SA"/>
        </w:rPr>
        <w:drawing>
          <wp:inline distT="0" distB="0" distL="114300" distR="114300">
            <wp:extent cx="5043170" cy="2515235"/>
            <wp:effectExtent l="0" t="0" r="5080" b="8890"/>
            <wp:docPr id="12" name="图片 12" descr="31a5ac4c3f7d11e4a225f4f45202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1a5ac4c3f7d11e4a225f4f45202ece"/>
                    <pic:cNvPicPr>
                      <a:picLocks noChangeAspect="1"/>
                    </pic:cNvPicPr>
                  </pic:nvPicPr>
                  <pic:blipFill>
                    <a:blip r:embed="rId11"/>
                    <a:stretch>
                      <a:fillRect/>
                    </a:stretch>
                  </pic:blipFill>
                  <pic:spPr>
                    <a:xfrm>
                      <a:off x="0" y="0"/>
                      <a:ext cx="5043170" cy="2515235"/>
                    </a:xfrm>
                    <a:prstGeom prst="rect">
                      <a:avLst/>
                    </a:prstGeom>
                  </pic:spPr>
                </pic:pic>
              </a:graphicData>
            </a:graphic>
          </wp:inline>
        </w:drawing>
      </w:r>
    </w:p>
    <w:p w14:paraId="096C02FC">
      <w:pPr>
        <w:widowControl w:val="0"/>
        <w:numPr>
          <w:ilvl w:val="0"/>
          <w:numId w:val="0"/>
        </w:numPr>
        <w:jc w:val="center"/>
        <w:rPr>
          <w:rFonts w:hint="eastAsia" w:cstheme="minorBidi"/>
          <w:kern w:val="2"/>
          <w:sz w:val="21"/>
          <w:szCs w:val="24"/>
          <w:lang w:val="en-US" w:eastAsia="zh-CN" w:bidi="ar-SA"/>
        </w:rPr>
      </w:pPr>
      <w:r>
        <w:rPr>
          <w:rFonts w:hint="eastAsia"/>
          <w:sz w:val="18"/>
          <w:szCs w:val="18"/>
          <w:lang w:val="en-US" w:eastAsia="zh-CN"/>
        </w:rPr>
        <w:t>图7：燃料电池电堆结构图</w:t>
      </w:r>
    </w:p>
    <w:p w14:paraId="3BD418DE">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jc w:val="left"/>
        <w:textAlignment w:val="baseline"/>
        <w:rPr>
          <w:rFonts w:hint="default" w:ascii="黑体" w:hAnsi="Times New Roman" w:eastAsia="黑体" w:cs="Times New Roman"/>
          <w:b w:val="0"/>
          <w:bCs/>
          <w:kern w:val="2"/>
          <w:sz w:val="24"/>
          <w:szCs w:val="24"/>
          <w:lang w:val="en-US" w:eastAsia="zh-CN" w:bidi="ar-SA"/>
        </w:rPr>
      </w:pPr>
      <w:r>
        <w:rPr>
          <w:rFonts w:hint="default" w:ascii="黑体" w:hAnsi="Times New Roman" w:eastAsia="黑体" w:cs="Times New Roman"/>
          <w:b w:val="0"/>
          <w:bCs/>
          <w:kern w:val="2"/>
          <w:sz w:val="24"/>
          <w:szCs w:val="24"/>
          <w:lang w:val="en-US" w:eastAsia="zh-CN" w:bidi="ar-SA"/>
        </w:rPr>
        <w:t>4.1.2 储氢系统能效与安全性的范式重构</w:t>
      </w:r>
    </w:p>
    <w:p w14:paraId="708A2A6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车载储氢系统的技术代际跃迁正沿着气态→液态→固态的路径纵深推进。70MPa IV型高压储氢瓶虽已商用化，但其5.7wt%质量密度仍受限于碳纤维复合材料成本（占储氢瓶总成本65%）</w:t>
      </w:r>
      <w:r>
        <w:rPr>
          <w:rFonts w:hint="eastAsia" w:cstheme="minorBidi"/>
          <w:kern w:val="2"/>
          <w:sz w:val="21"/>
          <w:szCs w:val="24"/>
          <w:lang w:val="en-US" w:eastAsia="zh-CN" w:bidi="ar-SA"/>
        </w:rPr>
        <w:t>[15]</w:t>
      </w:r>
      <w:r>
        <w:rPr>
          <w:rFonts w:hint="default" w:asciiTheme="minorHAnsi" w:hAnsiTheme="minorHAnsi" w:eastAsiaTheme="minorEastAsia" w:cstheme="minorBidi"/>
          <w:kern w:val="2"/>
          <w:sz w:val="21"/>
          <w:szCs w:val="24"/>
          <w:lang w:val="en-US" w:eastAsia="zh-CN" w:bidi="ar-SA"/>
        </w:rPr>
        <w:t>。国产T800级碳纤维的量产突破（成本降至180元/kg）使储氢瓶成本下降30%，而纳米孔活性炭吸附技术将储氢压力降至35MPa，质量密度反升至6.3wt%。液态储氢领域，有机液态储氢载体（LOHC）通过甲基环己烷-甲苯可逆反应实现6.2wt%储氢效率，且脱氢能耗从12kWh/kg降至8kWh/kg，突破商业化瓶颈。更具颠覆性的是镁基固态储氢材料：通过Ni-Ti纳米颗粒掺杂，其解吸温度从287℃降至180℃，循环稳定性突破2500次，体积储氢密度达110kg/m³，是高压气态储氢的3倍</w:t>
      </w:r>
      <w:r>
        <w:rPr>
          <w:rFonts w:hint="eastAsia" w:cstheme="minorBidi"/>
          <w:kern w:val="2"/>
          <w:sz w:val="21"/>
          <w:szCs w:val="24"/>
          <w:lang w:val="en-US" w:eastAsia="zh-CN" w:bidi="ar-SA"/>
        </w:rPr>
        <w:t>[7][9]</w:t>
      </w:r>
      <w:r>
        <w:rPr>
          <w:rFonts w:hint="default" w:asciiTheme="minorHAnsi" w:hAnsiTheme="minorHAnsi" w:eastAsiaTheme="minorEastAsia" w:cstheme="minorBidi"/>
          <w:kern w:val="2"/>
          <w:sz w:val="21"/>
          <w:szCs w:val="24"/>
          <w:lang w:val="en-US" w:eastAsia="zh-CN" w:bidi="ar-SA"/>
        </w:rPr>
        <w:t>。这些创新推动车载储氢系统能量密度向12MJ/kg演进，使氢能重卡续航突破1500公里，较柴油车提升40%。</w:t>
      </w:r>
    </w:p>
    <w:p w14:paraId="0D66122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jc w:val="center"/>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2880995" cy="2362200"/>
            <wp:effectExtent l="0" t="0" r="5080" b="0"/>
            <wp:docPr id="13" name="图片 13" descr="358fbd06fb68241a273444db3e8b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58fbd06fb68241a273444db3e8b0ba"/>
                    <pic:cNvPicPr>
                      <a:picLocks noChangeAspect="1"/>
                    </pic:cNvPicPr>
                  </pic:nvPicPr>
                  <pic:blipFill>
                    <a:blip r:embed="rId12"/>
                    <a:stretch>
                      <a:fillRect/>
                    </a:stretch>
                  </pic:blipFill>
                  <pic:spPr>
                    <a:xfrm>
                      <a:off x="0" y="0"/>
                      <a:ext cx="2880995" cy="2362200"/>
                    </a:xfrm>
                    <a:prstGeom prst="rect">
                      <a:avLst/>
                    </a:prstGeom>
                  </pic:spPr>
                </pic:pic>
              </a:graphicData>
            </a:graphic>
          </wp:inline>
        </w:drawing>
      </w:r>
      <w:r>
        <w:rPr>
          <w:rFonts w:hint="default" w:asciiTheme="minorHAnsi" w:hAnsiTheme="minorHAnsi" w:eastAsiaTheme="minorEastAsia" w:cstheme="minorBidi"/>
          <w:kern w:val="2"/>
          <w:sz w:val="21"/>
          <w:szCs w:val="24"/>
          <w:lang w:val="en-US" w:eastAsia="zh-CN" w:bidi="ar-SA"/>
        </w:rPr>
        <w:drawing>
          <wp:inline distT="0" distB="0" distL="114300" distR="114300">
            <wp:extent cx="1719580" cy="2331720"/>
            <wp:effectExtent l="0" t="0" r="4445" b="1905"/>
            <wp:docPr id="14" name="图片 14" descr="6868c74d84ce1f4867624fd5712e1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868c74d84ce1f4867624fd5712e1ee"/>
                    <pic:cNvPicPr>
                      <a:picLocks noChangeAspect="1"/>
                    </pic:cNvPicPr>
                  </pic:nvPicPr>
                  <pic:blipFill>
                    <a:blip r:embed="rId13"/>
                    <a:stretch>
                      <a:fillRect/>
                    </a:stretch>
                  </pic:blipFill>
                  <pic:spPr>
                    <a:xfrm>
                      <a:off x="0" y="0"/>
                      <a:ext cx="1719580" cy="2331720"/>
                    </a:xfrm>
                    <a:prstGeom prst="rect">
                      <a:avLst/>
                    </a:prstGeom>
                  </pic:spPr>
                </pic:pic>
              </a:graphicData>
            </a:graphic>
          </wp:inline>
        </w:drawing>
      </w:r>
    </w:p>
    <w:p w14:paraId="10C28A0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jc w:val="center"/>
        <w:textAlignment w:val="baseline"/>
        <w:rPr>
          <w:rFonts w:hint="default" w:asciiTheme="minorHAnsi" w:hAnsiTheme="minorHAnsi" w:eastAsiaTheme="minorEastAsia" w:cstheme="minorBidi"/>
          <w:kern w:val="2"/>
          <w:sz w:val="21"/>
          <w:szCs w:val="24"/>
          <w:lang w:val="en-US" w:eastAsia="zh-CN" w:bidi="ar-SA"/>
        </w:rPr>
      </w:pPr>
      <w:r>
        <w:rPr>
          <w:rFonts w:hint="eastAsia"/>
          <w:sz w:val="18"/>
          <w:szCs w:val="18"/>
          <w:lang w:val="en-US" w:eastAsia="zh-CN"/>
        </w:rPr>
        <w:t>图8：液态储氢技术与气态储氢技术</w:t>
      </w:r>
    </w:p>
    <w:p w14:paraId="4B9E982E">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jc w:val="left"/>
        <w:textAlignment w:val="baseline"/>
        <w:rPr>
          <w:rFonts w:hint="default" w:ascii="黑体" w:hAnsi="Times New Roman" w:eastAsia="黑体" w:cs="Times New Roman"/>
          <w:b w:val="0"/>
          <w:bCs/>
          <w:kern w:val="2"/>
          <w:sz w:val="24"/>
          <w:szCs w:val="24"/>
          <w:lang w:val="en-US" w:eastAsia="zh-CN" w:bidi="ar-SA"/>
        </w:rPr>
      </w:pPr>
      <w:r>
        <w:rPr>
          <w:rFonts w:hint="default" w:ascii="黑体" w:hAnsi="Times New Roman" w:eastAsia="黑体" w:cs="Times New Roman"/>
          <w:b w:val="0"/>
          <w:bCs/>
          <w:kern w:val="2"/>
          <w:sz w:val="24"/>
          <w:szCs w:val="24"/>
          <w:lang w:val="en-US" w:eastAsia="zh-CN" w:bidi="ar-SA"/>
        </w:rPr>
        <w:t>4.1.3 制氢设备与可再生能源的深度耦合</w:t>
      </w:r>
    </w:p>
    <w:p w14:paraId="0A4110F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ascii="宋体" w:hAnsi="宋体" w:eastAsia="宋体" w:cs="宋体"/>
          <w:sz w:val="24"/>
          <w:szCs w:val="24"/>
        </w:rPr>
      </w:pPr>
      <w:r>
        <w:rPr>
          <w:rFonts w:hint="default" w:asciiTheme="minorHAnsi" w:hAnsiTheme="minorHAnsi" w:eastAsiaTheme="minorEastAsia" w:cstheme="minorBidi"/>
          <w:kern w:val="2"/>
          <w:sz w:val="21"/>
          <w:szCs w:val="24"/>
          <w:lang w:val="en-US" w:eastAsia="zh-CN" w:bidi="ar-SA"/>
        </w:rPr>
        <w:t>绿氢制备技术的代际跃迁体现为电解效率提升与波动性适应能力的双重突破。碱性电解（ALK）通过三维泡沫镍电极与复合隔膜优化，电流密度从0.4A/cm²提升至0.7A/cm²，制氢能耗降至4.0kWh/Nm³，但动态响应速度（&lt;20%额定功率/秒）仍制约风光电直接耦合。质子交换膜电解（PEM）凭借快速启停特性（功率调节速率达100%/秒），在张家口风光氢储示范项目中实现电解槽利用率92%，较ALK提升35%。颠覆性创新来自高温固体氧化物电解（SOEC）：其蒸汽电解模式在800℃下理论效率达90%，与工业余热耦合后系统效率突破85%，但脆性电解质支撑体（如8YSZ）的断裂韧性不足（仅2.5MPa·m¹/²）限制其商业化进程。通过梯度多孔电极设计与热应力缓冲层开发，SOEC堆栈寿命从5000小时延长至20000小时，推动绿氢成本向15元/kg阈值逼近，较化石能源制氢（CCUS路径）实现成本倒挂</w:t>
      </w:r>
      <w:r>
        <w:rPr>
          <w:rFonts w:hint="eastAsia" w:cstheme="minorBidi"/>
          <w:kern w:val="2"/>
          <w:sz w:val="21"/>
          <w:szCs w:val="24"/>
          <w:lang w:val="en-US" w:eastAsia="zh-CN" w:bidi="ar-SA"/>
        </w:rPr>
        <w:t>[16]</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drawing>
          <wp:inline distT="0" distB="0" distL="114300" distR="114300">
            <wp:extent cx="2456815" cy="1935480"/>
            <wp:effectExtent l="0" t="0" r="635" b="7620"/>
            <wp:docPr id="15" name="图片 15" descr="2338d9e0e607c58a8f27c6dc7c04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338d9e0e607c58a8f27c6dc7c043f3"/>
                    <pic:cNvPicPr>
                      <a:picLocks noChangeAspect="1"/>
                    </pic:cNvPicPr>
                  </pic:nvPicPr>
                  <pic:blipFill>
                    <a:blip r:embed="rId14"/>
                    <a:stretch>
                      <a:fillRect/>
                    </a:stretch>
                  </pic:blipFill>
                  <pic:spPr>
                    <a:xfrm>
                      <a:off x="0" y="0"/>
                      <a:ext cx="2456815" cy="1935480"/>
                    </a:xfrm>
                    <a:prstGeom prst="rect">
                      <a:avLst/>
                    </a:prstGeom>
                  </pic:spPr>
                </pic:pic>
              </a:graphicData>
            </a:graphic>
          </wp:inline>
        </w:drawing>
      </w:r>
      <w:r>
        <w:rPr>
          <w:rFonts w:ascii="宋体" w:hAnsi="宋体" w:eastAsia="宋体" w:cs="宋体"/>
          <w:sz w:val="24"/>
          <w:szCs w:val="24"/>
        </w:rPr>
        <w:drawing>
          <wp:inline distT="0" distB="0" distL="114300" distR="114300">
            <wp:extent cx="2741930" cy="1930400"/>
            <wp:effectExtent l="0" t="0" r="1270" b="3175"/>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15"/>
                    <a:stretch>
                      <a:fillRect/>
                    </a:stretch>
                  </pic:blipFill>
                  <pic:spPr>
                    <a:xfrm>
                      <a:off x="0" y="0"/>
                      <a:ext cx="2741930" cy="1930400"/>
                    </a:xfrm>
                    <a:prstGeom prst="rect">
                      <a:avLst/>
                    </a:prstGeom>
                    <a:noFill/>
                    <a:ln w="9525">
                      <a:noFill/>
                    </a:ln>
                  </pic:spPr>
                </pic:pic>
              </a:graphicData>
            </a:graphic>
          </wp:inline>
        </w:drawing>
      </w:r>
    </w:p>
    <w:p w14:paraId="5EBE255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jc w:val="center"/>
        <w:textAlignment w:val="baseline"/>
        <w:rPr>
          <w:rFonts w:hint="default" w:asciiTheme="minorHAnsi" w:hAnsiTheme="minorHAnsi" w:eastAsiaTheme="minorEastAsia" w:cstheme="minorBidi"/>
          <w:kern w:val="2"/>
          <w:sz w:val="21"/>
          <w:szCs w:val="24"/>
          <w:lang w:val="en-US" w:eastAsia="zh-CN" w:bidi="ar-SA"/>
        </w:rPr>
      </w:pPr>
      <w:r>
        <w:rPr>
          <w:rFonts w:hint="eastAsia"/>
          <w:sz w:val="18"/>
          <w:szCs w:val="18"/>
          <w:lang w:val="en-US" w:eastAsia="zh-CN"/>
        </w:rPr>
        <w:t>图9：绿氢的制、储、输、用</w:t>
      </w:r>
    </w:p>
    <w:p w14:paraId="724C713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宋体" w:hAnsi="宋体" w:eastAsia="宋体" w:cs="宋体"/>
          <w:sz w:val="24"/>
          <w:szCs w:val="24"/>
          <w:lang w:val="en-US" w:eastAsia="zh-CN"/>
        </w:rPr>
      </w:pPr>
    </w:p>
    <w:p w14:paraId="7E345E2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textAlignment w:val="baseline"/>
        <w:rPr>
          <w:rFonts w:hint="default" w:ascii="黑体" w:hAnsi="Times New Roman" w:eastAsia="黑体" w:cs="Times New Roman"/>
          <w:b w:val="0"/>
          <w:bCs/>
          <w:kern w:val="2"/>
          <w:sz w:val="28"/>
          <w:szCs w:val="28"/>
          <w:lang w:val="en-US" w:eastAsia="zh-CN" w:bidi="ar-SA"/>
        </w:rPr>
      </w:pPr>
      <w:r>
        <w:rPr>
          <w:rFonts w:hint="default" w:ascii="黑体" w:hAnsi="Times New Roman" w:eastAsia="黑体" w:cs="Times New Roman"/>
          <w:b w:val="0"/>
          <w:bCs/>
          <w:kern w:val="2"/>
          <w:sz w:val="28"/>
          <w:szCs w:val="28"/>
          <w:lang w:val="en-US" w:eastAsia="zh-CN" w:bidi="ar-SA"/>
        </w:rPr>
        <w:t>4.2 产业生态重构的演进逻辑</w:t>
      </w:r>
    </w:p>
    <w:p w14:paraId="0C28A28E">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氢基能源引发的产业生态重构，本质上是能源网络与交通载体的协同进化在价值链、技术链与空间布局上的系统性延伸。这一进程首先体现为能源生产与消费网络的拓扑重构：依托"西氢东送"战略，中国已形成西北风光制氢基地与东部应用市场的跨区域协同格局</w:t>
      </w:r>
      <w:r>
        <w:rPr>
          <w:rFonts w:hint="eastAsia" w:cstheme="minorBidi"/>
          <w:kern w:val="2"/>
          <w:sz w:val="21"/>
          <w:szCs w:val="24"/>
          <w:lang w:val="en-US" w:eastAsia="zh-CN" w:bidi="ar-SA"/>
        </w:rPr>
        <w:t>[19]</w:t>
      </w:r>
      <w:r>
        <w:rPr>
          <w:rFonts w:hint="default" w:asciiTheme="minorHAnsi" w:hAnsiTheme="minorHAnsi" w:eastAsiaTheme="minorEastAsia" w:cstheme="minorBidi"/>
          <w:kern w:val="2"/>
          <w:sz w:val="21"/>
          <w:szCs w:val="24"/>
          <w:lang w:val="en-US" w:eastAsia="zh-CN" w:bidi="ar-SA"/>
        </w:rPr>
        <w:t>。例如新疆准东基地通过2000公里输氢管道向长三角输送绿氢，运输成本较液氢槽车降低70%，而上海港氢能重卡日均80kg的氢耗需求倒逼加氢站密度提升至每百公里2.5座，推动氢能基础设施投资回报周期从12年压缩至8年。这种供需双向牵引机制不仅重塑了能源网络的空间分布，更催生出"氢-电-热"多能流协同的新范式，如张家港智能微电网通过氢储能实现10万户家庭用电调节，验证了交通能源双向赋能的可行性。</w:t>
      </w:r>
    </w:p>
    <w:p w14:paraId="1982702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jc w:val="center"/>
        <w:textAlignment w:val="baseline"/>
        <w:rPr>
          <w:rFonts w:hint="default" w:asciiTheme="minorHAnsi" w:hAnsiTheme="minorHAnsi" w:eastAsiaTheme="minorEastAsia" w:cstheme="minorBidi"/>
          <w:kern w:val="2"/>
          <w:sz w:val="21"/>
          <w:szCs w:val="24"/>
          <w:lang w:val="en-US" w:eastAsia="zh-CN" w:bidi="ar-SA"/>
        </w:rPr>
      </w:pPr>
      <w:r>
        <w:rPr>
          <w:rFonts w:ascii="宋体" w:hAnsi="宋体" w:eastAsia="宋体" w:cs="宋体"/>
          <w:sz w:val="24"/>
          <w:szCs w:val="24"/>
        </w:rPr>
        <w:drawing>
          <wp:inline distT="0" distB="0" distL="114300" distR="114300">
            <wp:extent cx="5266690" cy="2850515"/>
            <wp:effectExtent l="0" t="0" r="635" b="6985"/>
            <wp:docPr id="17" name="图片 17" descr="826334bfe7205ab24dfd81be3121f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26334bfe7205ab24dfd81be3121f1e"/>
                    <pic:cNvPicPr>
                      <a:picLocks noChangeAspect="1"/>
                    </pic:cNvPicPr>
                  </pic:nvPicPr>
                  <pic:blipFill>
                    <a:blip r:embed="rId16"/>
                    <a:stretch>
                      <a:fillRect/>
                    </a:stretch>
                  </pic:blipFill>
                  <pic:spPr>
                    <a:xfrm>
                      <a:off x="0" y="0"/>
                      <a:ext cx="5266690" cy="2850515"/>
                    </a:xfrm>
                    <a:prstGeom prst="rect">
                      <a:avLst/>
                    </a:prstGeom>
                  </pic:spPr>
                </pic:pic>
              </a:graphicData>
            </a:graphic>
          </wp:inline>
        </w:drawing>
      </w:r>
      <w:r>
        <w:rPr>
          <w:rFonts w:hint="eastAsia"/>
          <w:sz w:val="18"/>
          <w:szCs w:val="18"/>
          <w:lang w:val="en-US" w:eastAsia="zh-CN"/>
        </w:rPr>
        <w:t>图10：氢能的全链路产业生态</w:t>
      </w:r>
    </w:p>
    <w:p w14:paraId="66D6D399">
      <w:pPr>
        <w:ind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产业链维度，纵向整合与横向跨界共同驱动生态位重构。亿华通与旭阳集团的战略重组将灰氢成本优势（10元/kg）与绿氢技术布局深度耦合，使绿氢成本突破15元/kg阈值，同时依托400条运输线路构建"氢能走廊"，实现制储运消全链条协同。横向融合则催生跨产业价值网络：佛山试点通过"氢-电-热"多能协同使居民电费下降30%，而金风科技200万千瓦风电制氢项目年减排70万吨CO₂，拓展氢能在航运脱碳等领域的应用场景。技术标准与商业模式的突破加速了这一进程，70MPa IV型储氢瓶碳纤维国产化率达85%，阴离子交换膜（AEM）电解技术使制氢成本较传统路径降低40%，"氢能里程订阅制"（HaaS）在物流领域试点中使重卡TCO较柴油车降低25%。当氢能重卡渗透率达23%时，可拉动绿氢需求增长300%，而绿氢价格每下降1元/kg将推动燃料电池汽车保有量提升15%，这种正反馈机制使产业生态从机械叠加转向有机共生</w:t>
      </w:r>
      <w:r>
        <w:rPr>
          <w:rFonts w:hint="eastAsia" w:cstheme="minorBidi"/>
          <w:kern w:val="2"/>
          <w:sz w:val="21"/>
          <w:szCs w:val="24"/>
          <w:lang w:val="en-US" w:eastAsia="zh-CN" w:bidi="ar-SA"/>
        </w:rPr>
        <w:t>[19][20]</w:t>
      </w:r>
      <w:r>
        <w:rPr>
          <w:rFonts w:hint="default" w:asciiTheme="minorHAnsi" w:hAnsiTheme="minorHAnsi" w:eastAsiaTheme="minorEastAsia" w:cstheme="minorBidi"/>
          <w:kern w:val="2"/>
          <w:sz w:val="21"/>
          <w:szCs w:val="24"/>
          <w:lang w:val="en-US" w:eastAsia="zh-CN" w:bidi="ar-SA"/>
        </w:rPr>
        <w:t>。</w:t>
      </w:r>
    </w:p>
    <w:p w14:paraId="28F4BC50">
      <w:pPr>
        <w:widowControl/>
        <w:topLinePunct/>
        <w:spacing w:before="480" w:after="120"/>
        <w:outlineLvl w:val="1"/>
        <w:rPr>
          <w:rFonts w:hint="default" w:ascii="黑体" w:hAnsi="Times New Roman" w:eastAsia="黑体" w:cs="Times New Roman"/>
          <w:bCs/>
          <w:sz w:val="30"/>
          <w:szCs w:val="30"/>
          <w:lang w:val="en-US" w:eastAsia="zh-CN"/>
        </w:rPr>
      </w:pPr>
      <w:bookmarkStart w:id="14" w:name="_Toc12895"/>
      <w:r>
        <w:rPr>
          <w:rFonts w:hint="default" w:ascii="黑体" w:hAnsi="Times New Roman" w:eastAsia="黑体" w:cs="Times New Roman"/>
          <w:bCs/>
          <w:sz w:val="30"/>
          <w:szCs w:val="30"/>
          <w:lang w:val="en-US" w:eastAsia="zh-CN"/>
        </w:rPr>
        <w:t>五、生态重构路径：汽车产业的价值链重塑</w:t>
      </w:r>
      <w:bookmarkEnd w:id="14"/>
    </w:p>
    <w:p w14:paraId="6B46A1AF">
      <w:pPr>
        <w:widowControl/>
        <w:topLinePunct/>
        <w:spacing w:before="240" w:after="120"/>
        <w:outlineLvl w:val="2"/>
        <w:rPr>
          <w:rFonts w:hint="default" w:ascii="黑体" w:hAnsi="Times New Roman" w:eastAsia="黑体" w:cs="Times New Roman"/>
          <w:bCs/>
          <w:sz w:val="28"/>
          <w:szCs w:val="28"/>
          <w:lang w:val="en-US" w:eastAsia="zh-CN"/>
        </w:rPr>
      </w:pPr>
      <w:bookmarkStart w:id="15" w:name="_Toc30659"/>
      <w:r>
        <w:rPr>
          <w:rFonts w:hint="default" w:ascii="黑体" w:hAnsi="Times New Roman" w:eastAsia="黑体" w:cs="Times New Roman"/>
          <w:bCs/>
          <w:sz w:val="28"/>
          <w:szCs w:val="28"/>
          <w:lang w:val="en-US" w:eastAsia="zh-CN"/>
        </w:rPr>
        <w:t>5.1 能源网络重构：从集中式到分布式的范式转换</w:t>
      </w:r>
      <w:bookmarkEnd w:id="15"/>
    </w:p>
    <w:p w14:paraId="455516E6">
      <w:pPr>
        <w:widowControl/>
        <w:topLinePunct/>
        <w:spacing w:before="240" w:after="120"/>
        <w:outlineLvl w:val="2"/>
        <w:rPr>
          <w:rFonts w:hint="default" w:asciiTheme="minorHAnsi" w:hAnsiTheme="minorHAnsi" w:eastAsiaTheme="minorEastAsia" w:cstheme="minorBidi"/>
          <w:kern w:val="2"/>
          <w:sz w:val="21"/>
          <w:szCs w:val="24"/>
          <w:lang w:val="en-US" w:eastAsia="zh-CN" w:bidi="ar-SA"/>
        </w:rPr>
      </w:pPr>
      <w:bookmarkStart w:id="16" w:name="_Toc2749"/>
      <w:r>
        <w:rPr>
          <w:rFonts w:hint="default" w:ascii="黑体" w:hAnsi="Times New Roman" w:eastAsia="黑体" w:cs="Times New Roman"/>
          <w:b w:val="0"/>
          <w:bCs/>
          <w:kern w:val="2"/>
          <w:sz w:val="24"/>
          <w:szCs w:val="24"/>
          <w:lang w:val="en-US" w:eastAsia="zh-CN" w:bidi="ar-SA"/>
        </w:rPr>
        <w:t>5.1.1 分布式能源网络的技术跃迁与协同架构</w:t>
      </w:r>
      <w:bookmarkEnd w:id="16"/>
    </w:p>
    <w:p w14:paraId="4B74DC62">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17" w:name="_Toc5130"/>
      <w:r>
        <w:rPr>
          <w:rFonts w:hint="default" w:asciiTheme="minorHAnsi" w:hAnsiTheme="minorHAnsi" w:eastAsiaTheme="minorEastAsia" w:cstheme="minorBidi"/>
          <w:kern w:val="2"/>
          <w:sz w:val="21"/>
          <w:szCs w:val="24"/>
          <w:lang w:val="en-US" w:eastAsia="zh-CN" w:bidi="ar-SA"/>
        </w:rPr>
        <w:t>能源网络的重构以"多能流耦合"为核心，推动传统集中式电网向"源-网-荷-储"协同的分布式体系转型。这一范式转换依托光伏、储能、氢能等技术的深度耦合，形成动态平衡的能源网络：例如张家口风光氢储一体化项目通过质子交换膜电解（PEM）实现92%的电解槽利用率，将可再生能源波动性制氢效率提升35%。分布式架构的关键突破在于智能电网与区块链技术的融合，通过DePIN（去中心化物理基础设施网络）实现能源节点即插即用和实时交易，如佛山"氢-电-热"多能协同试点中，分布式能源设备接入效率提升40%，居民电费下降30%。技术跃迁还体现在能源传输损耗的显著降低，DeGEN（去中心化生成能源网络）通过地理邻近的能源产销匹配，将传统电网线损率从6%-8%压缩至2%以下</w:t>
      </w:r>
      <w:r>
        <w:rPr>
          <w:rFonts w:hint="eastAsia" w:cstheme="minorBidi"/>
          <w:kern w:val="2"/>
          <w:sz w:val="21"/>
          <w:szCs w:val="24"/>
          <w:lang w:val="en-US" w:eastAsia="zh-CN" w:bidi="ar-SA"/>
        </w:rPr>
        <w:t>[20]</w:t>
      </w:r>
      <w:r>
        <w:rPr>
          <w:rFonts w:hint="default" w:asciiTheme="minorHAnsi" w:hAnsiTheme="minorHAnsi" w:eastAsiaTheme="minorEastAsia" w:cstheme="minorBidi"/>
          <w:kern w:val="2"/>
          <w:sz w:val="21"/>
          <w:szCs w:val="24"/>
          <w:lang w:val="en-US" w:eastAsia="zh-CN" w:bidi="ar-SA"/>
        </w:rPr>
        <w:t>。</w:t>
      </w:r>
      <w:bookmarkEnd w:id="17"/>
    </w:p>
    <w:p w14:paraId="38B21F82">
      <w:pPr>
        <w:widowControl/>
        <w:topLinePunct/>
        <w:spacing w:before="240" w:after="120"/>
        <w:outlineLvl w:val="2"/>
        <w:rPr>
          <w:rFonts w:hint="eastAsia" w:eastAsia="宋体" w:asciiTheme="minorHAnsi" w:hAnsiTheme="minorHAnsi" w:cstheme="minorBidi"/>
          <w:kern w:val="2"/>
          <w:sz w:val="21"/>
          <w:szCs w:val="24"/>
          <w:lang w:val="en-US" w:eastAsia="zh-CN" w:bidi="ar-SA"/>
        </w:rPr>
      </w:pPr>
      <w:bookmarkStart w:id="18" w:name="_Toc11877"/>
      <w:r>
        <w:rPr>
          <w:rFonts w:ascii="宋体" w:hAnsi="宋体" w:eastAsia="宋体" w:cs="宋体"/>
          <w:sz w:val="24"/>
          <w:szCs w:val="24"/>
        </w:rPr>
        <w:drawing>
          <wp:inline distT="0" distB="0" distL="114300" distR="114300">
            <wp:extent cx="2027555" cy="2027555"/>
            <wp:effectExtent l="0" t="0" r="1270" b="1270"/>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17"/>
                    <a:stretch>
                      <a:fillRect/>
                    </a:stretch>
                  </pic:blipFill>
                  <pic:spPr>
                    <a:xfrm>
                      <a:off x="0" y="0"/>
                      <a:ext cx="2027555" cy="2027555"/>
                    </a:xfrm>
                    <a:prstGeom prst="rect">
                      <a:avLst/>
                    </a:prstGeom>
                    <a:noFill/>
                    <a:ln w="9525">
                      <a:noFill/>
                    </a:ln>
                  </pic:spPr>
                </pic:pic>
              </a:graphicData>
            </a:graphic>
          </wp:inline>
        </w:drawing>
      </w:r>
      <w:r>
        <w:rPr>
          <w:rFonts w:hint="eastAsia" w:eastAsia="宋体" w:asciiTheme="minorHAnsi" w:hAnsiTheme="minorHAnsi" w:cstheme="minorBidi"/>
          <w:kern w:val="2"/>
          <w:sz w:val="21"/>
          <w:szCs w:val="24"/>
          <w:lang w:val="en-US" w:eastAsia="zh-CN" w:bidi="ar-SA"/>
        </w:rPr>
        <w:drawing>
          <wp:inline distT="0" distB="0" distL="114300" distR="114300">
            <wp:extent cx="3033395" cy="2011045"/>
            <wp:effectExtent l="0" t="0" r="5080" b="8255"/>
            <wp:docPr id="21" name="图片 21" descr="6dfe6790ec8413f7bc3790273242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dfe6790ec8413f7bc3790273242e14"/>
                    <pic:cNvPicPr>
                      <a:picLocks noChangeAspect="1"/>
                    </pic:cNvPicPr>
                  </pic:nvPicPr>
                  <pic:blipFill>
                    <a:blip r:embed="rId18"/>
                    <a:stretch>
                      <a:fillRect/>
                    </a:stretch>
                  </pic:blipFill>
                  <pic:spPr>
                    <a:xfrm>
                      <a:off x="0" y="0"/>
                      <a:ext cx="3033395" cy="2011045"/>
                    </a:xfrm>
                    <a:prstGeom prst="rect">
                      <a:avLst/>
                    </a:prstGeom>
                  </pic:spPr>
                </pic:pic>
              </a:graphicData>
            </a:graphic>
          </wp:inline>
        </w:drawing>
      </w:r>
      <w:bookmarkEnd w:id="18"/>
    </w:p>
    <w:p w14:paraId="41EA7F08">
      <w:pPr>
        <w:widowControl/>
        <w:topLinePunct/>
        <w:spacing w:before="240" w:after="120"/>
        <w:jc w:val="center"/>
        <w:outlineLvl w:val="2"/>
        <w:rPr>
          <w:rFonts w:hint="default" w:eastAsia="宋体" w:asciiTheme="minorHAnsi" w:hAnsiTheme="minorHAnsi" w:cstheme="minorBidi"/>
          <w:kern w:val="2"/>
          <w:sz w:val="21"/>
          <w:szCs w:val="24"/>
          <w:lang w:val="en-US" w:eastAsia="zh-CN" w:bidi="ar-SA"/>
        </w:rPr>
      </w:pPr>
      <w:bookmarkStart w:id="19" w:name="_Toc1475"/>
      <w:r>
        <w:rPr>
          <w:rFonts w:hint="eastAsia"/>
          <w:sz w:val="18"/>
          <w:szCs w:val="18"/>
          <w:lang w:val="en-US" w:eastAsia="zh-CN"/>
        </w:rPr>
        <w:t>图11：能源互联网与分布式能源利用</w:t>
      </w:r>
      <w:bookmarkEnd w:id="19"/>
    </w:p>
    <w:p w14:paraId="778D3FEE">
      <w:pPr>
        <w:widowControl/>
        <w:topLinePunct/>
        <w:spacing w:before="240" w:after="120"/>
        <w:outlineLvl w:val="2"/>
        <w:rPr>
          <w:rFonts w:hint="default" w:asciiTheme="minorHAnsi" w:hAnsiTheme="minorHAnsi" w:eastAsiaTheme="minorEastAsia" w:cstheme="minorBidi"/>
          <w:kern w:val="2"/>
          <w:sz w:val="21"/>
          <w:szCs w:val="24"/>
          <w:lang w:val="en-US" w:eastAsia="zh-CN" w:bidi="ar-SA"/>
        </w:rPr>
      </w:pPr>
      <w:bookmarkStart w:id="20" w:name="_Toc28877"/>
      <w:r>
        <w:rPr>
          <w:rFonts w:hint="default" w:ascii="黑体" w:hAnsi="Times New Roman" w:eastAsia="黑体" w:cs="Times New Roman"/>
          <w:b w:val="0"/>
          <w:bCs/>
          <w:kern w:val="2"/>
          <w:sz w:val="24"/>
          <w:szCs w:val="24"/>
          <w:lang w:val="en-US" w:eastAsia="zh-CN" w:bidi="ar-SA"/>
        </w:rPr>
        <w:t>5.1.2 车-能协同驱动的产业生态重构</w:t>
      </w:r>
      <w:bookmarkEnd w:id="20"/>
    </w:p>
    <w:p w14:paraId="1E3CBCA6">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21" w:name="_Toc28400"/>
      <w:r>
        <w:rPr>
          <w:rFonts w:hint="default" w:asciiTheme="minorHAnsi" w:hAnsiTheme="minorHAnsi" w:eastAsiaTheme="minorEastAsia" w:cstheme="minorBidi"/>
          <w:kern w:val="2"/>
          <w:sz w:val="21"/>
          <w:szCs w:val="24"/>
          <w:lang w:val="en-US" w:eastAsia="zh-CN" w:bidi="ar-SA"/>
        </w:rPr>
        <w:t>汽车产业正从单纯的能源消费者转变为"产消者"（Prosumer），重构能源网络的价值流动路径。上海港氢能重卡日均80kg氢耗需求，倒逼加氢站密度提升至每百公里2.5座，并通过V2G（车网互动）技术实现车载储氢系统反向供电，单辆重卡可调节10户家庭日用电负荷。这种双向赋能机制在张家港"氢光互补"微电网中得到验证，氢储能系统成功调节10万户家庭周用电波动，推动能源基础设施投资回报周期从12年缩短至8年。更深层次的变革在于动力电池的能源网络属性强化：宁德时代"EVOGO"换电体系通过模块化电池包设计，使单个换电站可服务20种车型，电池资产利用率提升60%，同时作为分布式储能节点参与电网调频，单站年收益增加300万元</w:t>
      </w:r>
      <w:r>
        <w:rPr>
          <w:rFonts w:hint="eastAsia" w:cstheme="minorBidi"/>
          <w:kern w:val="2"/>
          <w:sz w:val="21"/>
          <w:szCs w:val="24"/>
          <w:lang w:val="en-US" w:eastAsia="zh-CN" w:bidi="ar-SA"/>
        </w:rPr>
        <w:t>[17]</w:t>
      </w:r>
      <w:r>
        <w:rPr>
          <w:rFonts w:hint="default" w:asciiTheme="minorHAnsi" w:hAnsiTheme="minorHAnsi" w:eastAsiaTheme="minorEastAsia" w:cstheme="minorBidi"/>
          <w:kern w:val="2"/>
          <w:sz w:val="21"/>
          <w:szCs w:val="24"/>
          <w:lang w:val="en-US" w:eastAsia="zh-CN" w:bidi="ar-SA"/>
        </w:rPr>
        <w:t>。</w:t>
      </w:r>
      <w:bookmarkEnd w:id="21"/>
    </w:p>
    <w:p w14:paraId="33CBB6C7">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22" w:name="_Toc16051"/>
      <w:r>
        <w:rPr>
          <w:rFonts w:hint="default" w:asciiTheme="minorHAnsi" w:hAnsiTheme="minorHAnsi" w:eastAsiaTheme="minorEastAsia" w:cstheme="minorBidi"/>
          <w:kern w:val="2"/>
          <w:sz w:val="21"/>
          <w:szCs w:val="24"/>
          <w:lang w:val="en-US" w:eastAsia="zh-CN" w:bidi="ar-SA"/>
        </w:rPr>
        <w:t>分布式能源网络的产业协同已形成"西氢东送"的跨区域格局。新疆准东基地通过2000公里输氢管道向长三角输送绿氢，运输成本较液氢槽车降低70%，而金风科技200万千瓦风电制氢项目年减排70万吨CO₂，拓展氢能在航运脱碳领域的应用。这种重构本质上打破了传统能源与交通的产业边界，当氢能重卡渗透率达23%时，可拉动绿氢需求增长300%，而绿氢价格每下降1元/kg将推动燃料电池汽车保有量提升15%，形成技术-市场-政策的正反馈闭环。能源网络的分布式进化，正在重塑汽车产业从"制造中心"向"服务生态"的价值链迁移，预计到2025年汽车服务市场规模将突破5万亿元，形成制造与服务双轮驱动的新范式。</w:t>
      </w:r>
      <w:bookmarkEnd w:id="22"/>
    </w:p>
    <w:p w14:paraId="086970E1">
      <w:pPr>
        <w:widowControl/>
        <w:topLinePunct/>
        <w:spacing w:before="240" w:after="120"/>
        <w:outlineLvl w:val="2"/>
        <w:rPr>
          <w:rFonts w:hint="default" w:asciiTheme="minorHAnsi" w:hAnsiTheme="minorHAnsi" w:eastAsiaTheme="minorEastAsia" w:cstheme="minorBidi"/>
          <w:kern w:val="2"/>
          <w:sz w:val="21"/>
          <w:szCs w:val="24"/>
          <w:lang w:val="en-US" w:eastAsia="zh-CN" w:bidi="ar-SA"/>
        </w:rPr>
      </w:pPr>
      <w:bookmarkStart w:id="23" w:name="_Toc6421"/>
      <w:r>
        <w:rPr>
          <w:rFonts w:hint="default" w:asciiTheme="minorHAnsi" w:hAnsiTheme="minorHAnsi" w:eastAsiaTheme="minorEastAsia" w:cstheme="minorBidi"/>
          <w:kern w:val="2"/>
          <w:sz w:val="21"/>
          <w:szCs w:val="24"/>
          <w:lang w:val="en-US" w:eastAsia="zh-CN" w:bidi="ar-SA"/>
        </w:rPr>
        <w:drawing>
          <wp:inline distT="0" distB="0" distL="114300" distR="114300">
            <wp:extent cx="5267960" cy="2357120"/>
            <wp:effectExtent l="0" t="0" r="8890" b="5080"/>
            <wp:docPr id="22" name="图片 22" descr="7118bcc0c8d15d8787f5ec807787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118bcc0c8d15d8787f5ec80778720e"/>
                    <pic:cNvPicPr>
                      <a:picLocks noChangeAspect="1"/>
                    </pic:cNvPicPr>
                  </pic:nvPicPr>
                  <pic:blipFill>
                    <a:blip r:embed="rId19"/>
                    <a:stretch>
                      <a:fillRect/>
                    </a:stretch>
                  </pic:blipFill>
                  <pic:spPr>
                    <a:xfrm>
                      <a:off x="0" y="0"/>
                      <a:ext cx="5267960" cy="2357120"/>
                    </a:xfrm>
                    <a:prstGeom prst="rect">
                      <a:avLst/>
                    </a:prstGeom>
                  </pic:spPr>
                </pic:pic>
              </a:graphicData>
            </a:graphic>
          </wp:inline>
        </w:drawing>
      </w:r>
      <w:bookmarkEnd w:id="23"/>
    </w:p>
    <w:p w14:paraId="68E8E284">
      <w:pPr>
        <w:widowControl/>
        <w:topLinePunct/>
        <w:spacing w:before="240" w:after="120"/>
        <w:ind w:firstLine="420" w:firstLineChars="0"/>
        <w:jc w:val="center"/>
        <w:outlineLvl w:val="2"/>
        <w:rPr>
          <w:rFonts w:hint="default" w:asciiTheme="minorHAnsi" w:hAnsiTheme="minorHAnsi" w:eastAsiaTheme="minorEastAsia" w:cstheme="minorBidi"/>
          <w:kern w:val="2"/>
          <w:sz w:val="21"/>
          <w:szCs w:val="24"/>
          <w:lang w:val="en-US" w:eastAsia="zh-CN" w:bidi="ar-SA"/>
        </w:rPr>
      </w:pPr>
      <w:bookmarkStart w:id="24" w:name="_Toc29788"/>
      <w:r>
        <w:rPr>
          <w:rFonts w:hint="eastAsia"/>
          <w:sz w:val="18"/>
          <w:szCs w:val="18"/>
          <w:lang w:val="en-US" w:eastAsia="zh-CN"/>
        </w:rPr>
        <w:t>图12：V2G车网互动与反向供电设想</w:t>
      </w:r>
      <w:bookmarkEnd w:id="24"/>
    </w:p>
    <w:p w14:paraId="05C1EFC0">
      <w:pPr>
        <w:widowControl/>
        <w:topLinePunct/>
        <w:spacing w:before="240" w:after="120"/>
        <w:outlineLvl w:val="2"/>
        <w:rPr>
          <w:rFonts w:hint="default" w:ascii="黑体" w:hAnsi="Times New Roman" w:eastAsia="黑体" w:cs="Times New Roman"/>
          <w:bCs/>
          <w:sz w:val="28"/>
          <w:szCs w:val="28"/>
          <w:lang w:val="en-US" w:eastAsia="zh-CN"/>
        </w:rPr>
      </w:pPr>
      <w:bookmarkStart w:id="25" w:name="_Toc3308"/>
      <w:r>
        <w:rPr>
          <w:rFonts w:hint="default" w:ascii="黑体" w:hAnsi="Times New Roman" w:eastAsia="黑体" w:cs="Times New Roman"/>
          <w:bCs/>
          <w:sz w:val="28"/>
          <w:szCs w:val="28"/>
          <w:lang w:val="en-US" w:eastAsia="zh-CN"/>
        </w:rPr>
        <w:t>5.2 价值链重构：产业链核心环节的竞争力重塑</w:t>
      </w:r>
      <w:bookmarkEnd w:id="25"/>
    </w:p>
    <w:p w14:paraId="09547C17">
      <w:pPr>
        <w:widowControl/>
        <w:topLinePunct/>
        <w:spacing w:before="240" w:after="120"/>
        <w:outlineLvl w:val="2"/>
        <w:rPr>
          <w:rFonts w:hint="default" w:ascii="黑体" w:hAnsi="Times New Roman" w:eastAsia="黑体" w:cs="Times New Roman"/>
          <w:b w:val="0"/>
          <w:bCs/>
          <w:kern w:val="2"/>
          <w:sz w:val="24"/>
          <w:szCs w:val="24"/>
          <w:lang w:val="en-US" w:eastAsia="zh-CN" w:bidi="ar-SA"/>
        </w:rPr>
      </w:pPr>
      <w:bookmarkStart w:id="26" w:name="_Toc18178"/>
      <w:r>
        <w:rPr>
          <w:rFonts w:hint="default" w:ascii="黑体" w:hAnsi="Times New Roman" w:eastAsia="黑体" w:cs="Times New Roman"/>
          <w:b w:val="0"/>
          <w:bCs/>
          <w:kern w:val="2"/>
          <w:sz w:val="24"/>
          <w:szCs w:val="24"/>
          <w:lang w:val="en-US" w:eastAsia="zh-CN" w:bidi="ar-SA"/>
        </w:rPr>
        <w:t>5.2.1 技术突破驱动的纵向整合与降本增效</w:t>
      </w:r>
      <w:bookmarkEnd w:id="26"/>
    </w:p>
    <w:p w14:paraId="5EB7FC52">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27" w:name="_Toc17570"/>
      <w:r>
        <w:rPr>
          <w:rFonts w:hint="default" w:asciiTheme="minorHAnsi" w:hAnsiTheme="minorHAnsi" w:eastAsiaTheme="minorEastAsia" w:cstheme="minorBidi"/>
          <w:kern w:val="2"/>
          <w:sz w:val="21"/>
          <w:szCs w:val="24"/>
          <w:lang w:val="en-US" w:eastAsia="zh-CN" w:bidi="ar-SA"/>
        </w:rPr>
        <w:t>氢能产业链的核心竞争力正从传统能源依赖转向技术驱动的纵向整合。在制氢环节，碱性电解（AWE）与质子交换膜电解（PEM）的技术博弈已进入深水区：国产碱性电解槽通过三维泡沫镍电极优化，电流密度提升至0.7A/cm²，制氢能耗降至4.0kWh/Nm³，兆瓦级设备成本仅为欧洲的1/3；而PEM电解凭借快速响应特性（功率调节速率100%/秒），在张家口风光氢储示范项目中实现92%的设备利用率，推动绿氢成本向15元/kg阈值逼近。储运环节的颠覆性突破更显著，70MPa IV型储氢瓶通过T800级碳纤维国产化（成本降至180元/kg），质量密度提升至6.3wt%，而液氨储运凭借0.12元/kg·1000km的超低运输成本，成为跨区域能量输送的最优解</w:t>
      </w:r>
      <w:r>
        <w:rPr>
          <w:rFonts w:hint="eastAsia" w:cstheme="minorBidi"/>
          <w:kern w:val="2"/>
          <w:sz w:val="21"/>
          <w:szCs w:val="24"/>
          <w:lang w:val="en-US" w:eastAsia="zh-CN" w:bidi="ar-SA"/>
        </w:rPr>
        <w:t>[17][18]</w:t>
      </w:r>
      <w:r>
        <w:rPr>
          <w:rFonts w:hint="default" w:asciiTheme="minorHAnsi" w:hAnsiTheme="minorHAnsi" w:eastAsiaTheme="minorEastAsia" w:cstheme="minorBidi"/>
          <w:kern w:val="2"/>
          <w:sz w:val="21"/>
          <w:szCs w:val="24"/>
          <w:lang w:val="en-US" w:eastAsia="zh-CN" w:bidi="ar-SA"/>
        </w:rPr>
        <w:t>。终端应用的技术迭代同样加速价值链重构，MAN Energy Solutions研发的氨燃料发动机热效率达50%，中船集团5000吨级氢燃料电池货船续航突破1000海里，均推动氢能向航运脱碳等高端场景渗透。</w:t>
      </w:r>
      <w:bookmarkEnd w:id="27"/>
    </w:p>
    <w:p w14:paraId="00BE5560">
      <w:pPr>
        <w:widowControl/>
        <w:topLinePunct/>
        <w:spacing w:before="240" w:after="120"/>
        <w:outlineLvl w:val="2"/>
        <w:rPr>
          <w:rFonts w:hint="eastAsia" w:ascii="宋体" w:hAnsi="宋体" w:eastAsia="宋体" w:cs="宋体"/>
          <w:sz w:val="24"/>
          <w:szCs w:val="24"/>
          <w:lang w:eastAsia="zh-CN"/>
        </w:rPr>
      </w:pPr>
      <w:bookmarkStart w:id="28" w:name="_Toc25222"/>
      <w:r>
        <w:rPr>
          <w:rFonts w:ascii="宋体" w:hAnsi="宋体" w:eastAsia="宋体" w:cs="宋体"/>
          <w:sz w:val="24"/>
          <w:szCs w:val="24"/>
        </w:rPr>
        <w:drawing>
          <wp:inline distT="0" distB="0" distL="114300" distR="114300">
            <wp:extent cx="2513330" cy="1559560"/>
            <wp:effectExtent l="0" t="0" r="1270" b="2540"/>
            <wp:docPr id="2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IMG_256"/>
                    <pic:cNvPicPr>
                      <a:picLocks noChangeAspect="1"/>
                    </pic:cNvPicPr>
                  </pic:nvPicPr>
                  <pic:blipFill>
                    <a:blip r:embed="rId20"/>
                    <a:stretch>
                      <a:fillRect/>
                    </a:stretch>
                  </pic:blipFill>
                  <pic:spPr>
                    <a:xfrm>
                      <a:off x="0" y="0"/>
                      <a:ext cx="2513330" cy="1559560"/>
                    </a:xfrm>
                    <a:prstGeom prst="rect">
                      <a:avLst/>
                    </a:prstGeom>
                    <a:noFill/>
                    <a:ln w="9525">
                      <a:noFill/>
                    </a:ln>
                  </pic:spPr>
                </pic:pic>
              </a:graphicData>
            </a:graphic>
          </wp:inline>
        </w:drawing>
      </w:r>
      <w:r>
        <w:rPr>
          <w:rFonts w:hint="eastAsia" w:ascii="宋体" w:hAnsi="宋体" w:eastAsia="宋体" w:cs="宋体"/>
          <w:sz w:val="24"/>
          <w:szCs w:val="24"/>
          <w:lang w:eastAsia="zh-CN"/>
        </w:rPr>
        <w:drawing>
          <wp:inline distT="0" distB="0" distL="114300" distR="114300">
            <wp:extent cx="2665730" cy="1639570"/>
            <wp:effectExtent l="0" t="0" r="1270" b="8255"/>
            <wp:docPr id="25" name="图片 25" descr="f7d813a2d6aee93c386b4e9c37f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7d813a2d6aee93c386b4e9c37f6574"/>
                    <pic:cNvPicPr>
                      <a:picLocks noChangeAspect="1"/>
                    </pic:cNvPicPr>
                  </pic:nvPicPr>
                  <pic:blipFill>
                    <a:blip r:embed="rId21"/>
                    <a:stretch>
                      <a:fillRect/>
                    </a:stretch>
                  </pic:blipFill>
                  <pic:spPr>
                    <a:xfrm>
                      <a:off x="0" y="0"/>
                      <a:ext cx="2665730" cy="1639570"/>
                    </a:xfrm>
                    <a:prstGeom prst="rect">
                      <a:avLst/>
                    </a:prstGeom>
                  </pic:spPr>
                </pic:pic>
              </a:graphicData>
            </a:graphic>
          </wp:inline>
        </w:drawing>
      </w:r>
      <w:bookmarkEnd w:id="28"/>
    </w:p>
    <w:p w14:paraId="429CC3F9">
      <w:pPr>
        <w:widowControl/>
        <w:topLinePunct/>
        <w:spacing w:before="240" w:after="120"/>
        <w:jc w:val="center"/>
        <w:outlineLvl w:val="2"/>
        <w:rPr>
          <w:rFonts w:hint="default" w:ascii="宋体" w:hAnsi="宋体" w:eastAsia="宋体" w:cs="宋体"/>
          <w:sz w:val="24"/>
          <w:szCs w:val="24"/>
          <w:lang w:val="en-US" w:eastAsia="zh-CN"/>
        </w:rPr>
      </w:pPr>
      <w:bookmarkStart w:id="29" w:name="_Toc13629"/>
      <w:r>
        <w:rPr>
          <w:rFonts w:hint="eastAsia"/>
          <w:sz w:val="18"/>
          <w:szCs w:val="18"/>
          <w:lang w:val="en-US" w:eastAsia="zh-CN"/>
        </w:rPr>
        <w:t>图13：氢能产业链与汽车</w:t>
      </w:r>
      <w:bookmarkEnd w:id="29"/>
    </w:p>
    <w:p w14:paraId="3FE76251">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30" w:name="_Toc9696"/>
      <w:r>
        <w:rPr>
          <w:rFonts w:hint="default" w:asciiTheme="minorHAnsi" w:hAnsiTheme="minorHAnsi" w:eastAsiaTheme="minorEastAsia" w:cstheme="minorBidi"/>
          <w:kern w:val="2"/>
          <w:sz w:val="21"/>
          <w:szCs w:val="24"/>
          <w:lang w:val="en-US" w:eastAsia="zh-CN" w:bidi="ar-SA"/>
        </w:rPr>
        <w:t>纵向整合的深层逻辑在于技术协同降本——当电解槽效率提升1%，绿氢成本可降低0.8元/kg；储运损耗每减少5%，终端用氢经济性提升12%。这种技术-成本的正向循环，使中国氢能设备出口三年增长4倍，占据沙特NEOM绿氢项目60%市场份额。</w:t>
      </w:r>
      <w:bookmarkEnd w:id="30"/>
    </w:p>
    <w:p w14:paraId="479F669A">
      <w:pPr>
        <w:widowControl/>
        <w:topLinePunct/>
        <w:spacing w:before="240" w:after="120"/>
        <w:outlineLvl w:val="2"/>
        <w:rPr>
          <w:rFonts w:hint="default" w:ascii="黑体" w:hAnsi="Times New Roman" w:eastAsia="黑体" w:cs="Times New Roman"/>
          <w:b w:val="0"/>
          <w:bCs/>
          <w:kern w:val="2"/>
          <w:sz w:val="24"/>
          <w:szCs w:val="24"/>
          <w:lang w:val="en-US" w:eastAsia="zh-CN" w:bidi="ar-SA"/>
        </w:rPr>
      </w:pPr>
      <w:bookmarkStart w:id="31" w:name="_Toc4049"/>
      <w:r>
        <w:rPr>
          <w:rFonts w:hint="default" w:ascii="黑体" w:hAnsi="Times New Roman" w:eastAsia="黑体" w:cs="Times New Roman"/>
          <w:b w:val="0"/>
          <w:bCs/>
          <w:kern w:val="2"/>
          <w:sz w:val="24"/>
          <w:szCs w:val="24"/>
          <w:lang w:val="en-US" w:eastAsia="zh-CN" w:bidi="ar-SA"/>
        </w:rPr>
        <w:t>5.2.2 跨域融合催生的横向价值网络重构</w:t>
      </w:r>
      <w:bookmarkEnd w:id="31"/>
    </w:p>
    <w:p w14:paraId="6743C058">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32" w:name="_Toc31716"/>
      <w:r>
        <w:rPr>
          <w:rFonts w:hint="default" w:asciiTheme="minorHAnsi" w:hAnsiTheme="minorHAnsi" w:eastAsiaTheme="minorEastAsia" w:cstheme="minorBidi"/>
          <w:kern w:val="2"/>
          <w:sz w:val="21"/>
          <w:szCs w:val="24"/>
          <w:lang w:val="en-US" w:eastAsia="zh-CN" w:bidi="ar-SA"/>
        </w:rPr>
        <w:t>氢能产业的价值链重构已突破单一能源赛道，形成跨产业协同的生态级创新。在能源-化工耦合领域，鄂尔多斯"绿氢+煤化工"项目通过铜锌铝催化剂将CO₂转化率提升至25%，每吨绿甲醇替代2.5吨原油，原料成本降低12%；佛山"氢-电-热"多能流协同系统则通过分布式能源网络，使居民电费下降30%，验证了氢能在城市能源系统中的枢纽价值。更颠覆性的变革发生在数字技术与实体产业的融合：区块链赋能的绿氢溯源体系为每立方米氢气赋予数字身份证，机器学习算法预测72小时氢价波动的准确率达89%，而智慧氢能管控系统通过2000+项参数实时监控，将全链条氢损率从12.7%压缩至5.3%</w:t>
      </w:r>
      <w:r>
        <w:rPr>
          <w:rFonts w:hint="eastAsia" w:cstheme="minorBidi"/>
          <w:kern w:val="2"/>
          <w:sz w:val="21"/>
          <w:szCs w:val="24"/>
          <w:lang w:val="en-US" w:eastAsia="zh-CN" w:bidi="ar-SA"/>
        </w:rPr>
        <w:t>。</w:t>
      </w:r>
      <w:bookmarkEnd w:id="32"/>
    </w:p>
    <w:p w14:paraId="25739E8C">
      <w:pPr>
        <w:widowControl/>
        <w:topLinePunct/>
        <w:spacing w:before="240" w:after="120"/>
        <w:outlineLvl w:val="2"/>
        <w:rPr>
          <w:rFonts w:ascii="宋体" w:hAnsi="宋体" w:eastAsia="宋体" w:cs="宋体"/>
          <w:sz w:val="24"/>
          <w:szCs w:val="24"/>
        </w:rPr>
      </w:pPr>
      <w:bookmarkStart w:id="33" w:name="_Toc25000"/>
      <w:r>
        <w:rPr>
          <w:rFonts w:ascii="宋体" w:hAnsi="宋体" w:eastAsia="宋体" w:cs="宋体"/>
          <w:sz w:val="24"/>
          <w:szCs w:val="24"/>
        </w:rPr>
        <w:drawing>
          <wp:inline distT="0" distB="0" distL="114300" distR="114300">
            <wp:extent cx="5273675" cy="2486025"/>
            <wp:effectExtent l="0" t="0" r="3175" b="0"/>
            <wp:docPr id="2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descr="IMG_256"/>
                    <pic:cNvPicPr>
                      <a:picLocks noChangeAspect="1"/>
                    </pic:cNvPicPr>
                  </pic:nvPicPr>
                  <pic:blipFill>
                    <a:blip r:embed="rId22"/>
                    <a:stretch>
                      <a:fillRect/>
                    </a:stretch>
                  </pic:blipFill>
                  <pic:spPr>
                    <a:xfrm>
                      <a:off x="0" y="0"/>
                      <a:ext cx="5273675" cy="2486025"/>
                    </a:xfrm>
                    <a:prstGeom prst="rect">
                      <a:avLst/>
                    </a:prstGeom>
                    <a:noFill/>
                    <a:ln w="9525">
                      <a:noFill/>
                    </a:ln>
                  </pic:spPr>
                </pic:pic>
              </a:graphicData>
            </a:graphic>
          </wp:inline>
        </w:drawing>
      </w:r>
      <w:bookmarkEnd w:id="33"/>
    </w:p>
    <w:p w14:paraId="73614990">
      <w:pPr>
        <w:widowControl/>
        <w:topLinePunct/>
        <w:spacing w:before="240" w:after="120"/>
        <w:jc w:val="center"/>
        <w:outlineLvl w:val="2"/>
        <w:rPr>
          <w:rFonts w:hint="default" w:ascii="宋体" w:hAnsi="宋体" w:eastAsia="宋体" w:cs="宋体"/>
          <w:sz w:val="24"/>
          <w:szCs w:val="24"/>
          <w:lang w:val="en-US" w:eastAsia="zh-CN"/>
        </w:rPr>
      </w:pPr>
      <w:bookmarkStart w:id="34" w:name="_Toc31571"/>
      <w:r>
        <w:rPr>
          <w:rFonts w:hint="eastAsia"/>
          <w:sz w:val="18"/>
          <w:szCs w:val="18"/>
          <w:lang w:val="en-US" w:eastAsia="zh-CN"/>
        </w:rPr>
        <w:t>图14：西氢东送跨省区、大规模、长距离的纯氢输送管道</w:t>
      </w:r>
      <w:bookmarkEnd w:id="34"/>
    </w:p>
    <w:p w14:paraId="60ED7A36">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35" w:name="_Toc12957"/>
      <w:r>
        <w:rPr>
          <w:rFonts w:hint="default" w:asciiTheme="minorHAnsi" w:hAnsiTheme="minorHAnsi" w:eastAsiaTheme="minorEastAsia" w:cstheme="minorBidi"/>
          <w:kern w:val="2"/>
          <w:sz w:val="21"/>
          <w:szCs w:val="24"/>
          <w:lang w:val="en-US" w:eastAsia="zh-CN" w:bidi="ar-SA"/>
        </w:rPr>
        <w:t>这种横向重构催生出新型商业模式：山东物流企业试点的"氢能里程订阅制"（HaaS）使重卡TCO较柴油车降低25%，而加氢站共享平台通过负荷率提升至65%，将单站盈亏平衡点从日均500kg降至300kg。价值链的延展性更体现在就业市场——氢安全工程师年薪超80万，碳足迹审计师成为ESG体系核心岗位，职业教育体系随之革新，哈工大氢能科学与工程专业报录比达15:1。</w:t>
      </w:r>
      <w:bookmarkEnd w:id="35"/>
    </w:p>
    <w:p w14:paraId="04481689">
      <w:pPr>
        <w:widowControl/>
        <w:topLinePunct/>
        <w:spacing w:before="240" w:after="120"/>
        <w:ind w:firstLine="420" w:firstLineChars="0"/>
        <w:outlineLvl w:val="2"/>
        <w:rPr>
          <w:rFonts w:hint="default" w:asciiTheme="minorHAnsi" w:hAnsiTheme="minorHAnsi" w:eastAsiaTheme="minorEastAsia" w:cstheme="minorBidi"/>
          <w:kern w:val="2"/>
          <w:sz w:val="21"/>
          <w:szCs w:val="24"/>
          <w:lang w:val="en-US" w:eastAsia="zh-CN" w:bidi="ar-SA"/>
        </w:rPr>
      </w:pPr>
      <w:bookmarkStart w:id="36" w:name="_Toc4178"/>
      <w:r>
        <w:rPr>
          <w:rFonts w:hint="default" w:asciiTheme="minorHAnsi" w:hAnsiTheme="minorHAnsi" w:eastAsiaTheme="minorEastAsia" w:cstheme="minorBidi"/>
          <w:kern w:val="2"/>
          <w:sz w:val="21"/>
          <w:szCs w:val="24"/>
          <w:lang w:val="en-US" w:eastAsia="zh-CN" w:bidi="ar-SA"/>
        </w:rPr>
        <w:t>产业生态的终极重构体现为区域经济格局的重塑：西北风光资源区依托"西氢东送"战略转型为"氢能沙特"，新疆准东基地通过2000公里输氢管道向长三角输送绿氢，运输成本较液氢槽车降低70%；东部城市群则通过氢能示范城建设，争夺氢能数据中心、无人机等新产业高地</w:t>
      </w:r>
      <w:r>
        <w:rPr>
          <w:rFonts w:hint="eastAsia" w:cstheme="minorBidi"/>
          <w:kern w:val="2"/>
          <w:sz w:val="21"/>
          <w:szCs w:val="24"/>
          <w:lang w:val="en-US" w:eastAsia="zh-CN" w:bidi="ar-SA"/>
        </w:rPr>
        <w:t>[19]</w:t>
      </w:r>
      <w:r>
        <w:rPr>
          <w:rFonts w:hint="default" w:asciiTheme="minorHAnsi" w:hAnsiTheme="minorHAnsi" w:eastAsiaTheme="minorEastAsia" w:cstheme="minorBidi"/>
          <w:kern w:val="2"/>
          <w:sz w:val="21"/>
          <w:szCs w:val="24"/>
          <w:lang w:val="en-US" w:eastAsia="zh-CN" w:bidi="ar-SA"/>
        </w:rPr>
        <w:t>。这种空间价值再分配，使氢能产业从零和博弈走向共生共赢，预计到2030年将激活超15万亿美元全球产业链投资缺口，其中中国贡献率超30%。</w:t>
      </w:r>
      <w:bookmarkEnd w:id="36"/>
    </w:p>
    <w:p w14:paraId="0C416F5B">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textAlignment w:val="baseline"/>
        <w:rPr>
          <w:rFonts w:hint="default" w:ascii="黑体" w:hAnsi="Times New Roman" w:eastAsia="黑体" w:cs="Times New Roman"/>
          <w:b w:val="0"/>
          <w:bCs/>
          <w:kern w:val="2"/>
          <w:sz w:val="30"/>
          <w:szCs w:val="30"/>
          <w:lang w:val="en-US" w:eastAsia="zh-CN" w:bidi="ar-SA"/>
        </w:rPr>
      </w:pPr>
      <w:bookmarkStart w:id="37" w:name="_Toc31526"/>
      <w:r>
        <w:rPr>
          <w:rFonts w:hint="default" w:ascii="黑体" w:hAnsi="Times New Roman" w:eastAsia="黑体" w:cs="Times New Roman"/>
          <w:b w:val="0"/>
          <w:bCs/>
          <w:kern w:val="2"/>
          <w:sz w:val="30"/>
          <w:szCs w:val="30"/>
          <w:lang w:val="en-US" w:eastAsia="zh-CN" w:bidi="ar-SA"/>
        </w:rPr>
        <w:t>六、案例研究：典型区域的实践探索</w:t>
      </w:r>
      <w:bookmarkEnd w:id="37"/>
    </w:p>
    <w:p w14:paraId="142F537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0"/>
        <w:textAlignment w:val="baseline"/>
        <w:rPr>
          <w:rFonts w:hint="default" w:ascii="黑体" w:hAnsi="Times New Roman" w:eastAsia="黑体" w:cs="Times New Roman"/>
          <w:b w:val="0"/>
          <w:bCs/>
          <w:kern w:val="2"/>
          <w:sz w:val="28"/>
          <w:szCs w:val="28"/>
          <w:lang w:val="en-US" w:eastAsia="zh-CN" w:bidi="ar-SA"/>
        </w:rPr>
      </w:pPr>
      <w:r>
        <w:rPr>
          <w:rFonts w:hint="default" w:ascii="黑体" w:hAnsi="Times New Roman" w:eastAsia="黑体" w:cs="Times New Roman"/>
          <w:b w:val="0"/>
          <w:bCs/>
          <w:kern w:val="2"/>
          <w:sz w:val="28"/>
          <w:szCs w:val="28"/>
          <w:lang w:val="en-US" w:eastAsia="zh-CN" w:bidi="ar-SA"/>
        </w:rPr>
        <w:t>6.1 国际经验比较</w:t>
      </w:r>
    </w:p>
    <w:p w14:paraId="7E9B02A1">
      <w:pPr>
        <w:widowControl/>
        <w:topLinePunct/>
        <w:spacing w:before="240" w:after="120"/>
        <w:outlineLvl w:val="2"/>
        <w:rPr>
          <w:rFonts w:hint="default" w:ascii="黑体" w:hAnsi="Times New Roman" w:eastAsia="黑体" w:cs="Times New Roman"/>
          <w:b w:val="0"/>
          <w:bCs/>
          <w:kern w:val="2"/>
          <w:sz w:val="24"/>
          <w:szCs w:val="24"/>
          <w:lang w:val="en-US" w:eastAsia="zh-CN" w:bidi="ar-SA"/>
        </w:rPr>
      </w:pPr>
      <w:bookmarkStart w:id="38" w:name="_Toc17087"/>
      <w:r>
        <w:rPr>
          <w:rFonts w:hint="default" w:ascii="黑体" w:hAnsi="Times New Roman" w:eastAsia="黑体" w:cs="Times New Roman"/>
          <w:b w:val="0"/>
          <w:bCs/>
          <w:kern w:val="2"/>
          <w:sz w:val="24"/>
          <w:szCs w:val="24"/>
          <w:lang w:val="en-US" w:eastAsia="zh-CN" w:bidi="ar-SA"/>
        </w:rPr>
        <w:t>6.1.1 德国：深度减碳与能源系统耦合</w:t>
      </w:r>
      <w:bookmarkEnd w:id="38"/>
    </w:p>
    <w:p w14:paraId="326C24D1">
      <w:pPr>
        <w:ind w:firstLine="420" w:firstLineChars="0"/>
        <w:rPr>
          <w:rFonts w:hint="default"/>
          <w:lang w:val="en-US" w:eastAsia="zh-CN"/>
        </w:rPr>
      </w:pPr>
      <w:r>
        <w:rPr>
          <w:rFonts w:hint="default"/>
          <w:lang w:val="en-US" w:eastAsia="zh-CN"/>
        </w:rPr>
        <w:t>德国将氢能作为深度脱碳的核心工具，通过“电力多元化转换（Power-to-X）”理念实现能源系统重构。其战略聚焦于绿氢生产与工业、交通、供热的深度融合：西门子在天然气掺氢发电领域已建成55MW示范项目，氢气掺混比例达20%，验证了现有燃气轮机对氢燃料的兼容性。蒂森克虏伯的氢能炼钢项目通过氢气直接还原铁技术，将碳排放较传统高炉工艺降低95%，目标2025年实现百万吨级绿钢量产。德国还通过欧盟氢能银行招标掌控技术标准话语权，2023年首批绿氢项目中标额中德国企业占比40%，凸显其在电解设备（如PEM技术）和氢基化工领域的垂直整合能力。</w:t>
      </w:r>
    </w:p>
    <w:p w14:paraId="0EA9996E">
      <w:pPr>
        <w:widowControl/>
        <w:topLinePunct/>
        <w:spacing w:before="240" w:after="120"/>
        <w:outlineLvl w:val="2"/>
        <w:rPr>
          <w:rFonts w:hint="default" w:ascii="黑体" w:hAnsi="Times New Roman" w:eastAsia="黑体" w:cs="Times New Roman"/>
          <w:b w:val="0"/>
          <w:bCs/>
          <w:kern w:val="2"/>
          <w:sz w:val="24"/>
          <w:szCs w:val="24"/>
          <w:lang w:val="en-US" w:eastAsia="zh-CN" w:bidi="ar-SA"/>
        </w:rPr>
      </w:pPr>
      <w:bookmarkStart w:id="39" w:name="_Toc22506"/>
      <w:r>
        <w:rPr>
          <w:rFonts w:hint="default" w:ascii="黑体" w:hAnsi="Times New Roman" w:eastAsia="黑体" w:cs="Times New Roman"/>
          <w:b w:val="0"/>
          <w:bCs/>
          <w:kern w:val="2"/>
          <w:sz w:val="24"/>
          <w:szCs w:val="24"/>
          <w:lang w:val="en-US" w:eastAsia="zh-CN" w:bidi="ar-SA"/>
        </w:rPr>
        <w:t>6.1.2 日本：技术专利壁垒与全球供应链布局</w:t>
      </w:r>
      <w:bookmarkEnd w:id="39"/>
    </w:p>
    <w:p w14:paraId="65DE2BDE">
      <w:pPr>
        <w:ind w:firstLine="420" w:firstLineChars="0"/>
        <w:rPr>
          <w:rFonts w:hint="default"/>
          <w:lang w:val="en-US" w:eastAsia="zh-CN"/>
        </w:rPr>
      </w:pPr>
      <w:r>
        <w:rPr>
          <w:rFonts w:hint="default"/>
          <w:lang w:val="en-US" w:eastAsia="zh-CN"/>
        </w:rPr>
        <w:t>日本以氢能作为新兴产业制高点，构建从技术研发到商业闭环的全链条优势。东丽公司T1100级碳纤维使70MPa储氢瓶质量密度突破6.3wt%，而川崎重工的液氢运输船技术将储运成本降至2.1美元/kg，支撑其全球首个液氢海运示范项目（澳大利亚-神户航线）。家用燃料电池热电联供（ENE-FARM）设备已覆盖30万户家庭，通过余热回收将能源效率提升至90%，形成分布式能源网络雏形。专利布局方面，日本在氢燃料电池领域拥有全球50%以上的优先权专利，尤其在催化剂层设计与膜电极集成技术上形成技术“护城河”。</w:t>
      </w:r>
    </w:p>
    <w:p w14:paraId="2A6DBCBB">
      <w:pPr>
        <w:widowControl/>
        <w:topLinePunct/>
        <w:spacing w:before="240" w:after="120"/>
        <w:outlineLvl w:val="2"/>
        <w:rPr>
          <w:rFonts w:hint="default" w:ascii="黑体" w:hAnsi="Times New Roman" w:eastAsia="黑体" w:cs="Times New Roman"/>
          <w:b w:val="0"/>
          <w:bCs/>
          <w:kern w:val="2"/>
          <w:sz w:val="24"/>
          <w:szCs w:val="24"/>
          <w:lang w:val="en-US" w:eastAsia="zh-CN" w:bidi="ar-SA"/>
        </w:rPr>
      </w:pPr>
      <w:bookmarkStart w:id="40" w:name="_Toc2038"/>
      <w:r>
        <w:rPr>
          <w:rFonts w:hint="default" w:ascii="黑体" w:hAnsi="Times New Roman" w:eastAsia="黑体" w:cs="Times New Roman"/>
          <w:b w:val="0"/>
          <w:bCs/>
          <w:kern w:val="2"/>
          <w:sz w:val="24"/>
          <w:szCs w:val="24"/>
          <w:lang w:val="en-US" w:eastAsia="zh-CN" w:bidi="ar-SA"/>
        </w:rPr>
        <w:t>6.1.3 美国：技术储备与多元化应用探索</w:t>
      </w:r>
      <w:bookmarkEnd w:id="40"/>
    </w:p>
    <w:p w14:paraId="27BB938C">
      <w:pPr>
        <w:ind w:firstLine="420" w:firstLineChars="0"/>
        <w:rPr>
          <w:rFonts w:hint="default"/>
          <w:lang w:val="en-US" w:eastAsia="zh-CN"/>
        </w:rPr>
      </w:pPr>
      <w:r>
        <w:rPr>
          <w:rFonts w:hint="default"/>
          <w:lang w:val="en-US" w:eastAsia="zh-CN"/>
        </w:rPr>
        <w:t>美国将氢能定位为中长期战略技术储备，依托国家实验室体系推动技术代际跃迁。Bloom Energy的固体氧化物电解（SOEC）技术耦合核电站余热，电解效率突破85%，在高温制氢领域建立技术制高点。加州“氢能高速公路”计划通过税收抵免政策（PTC每千克补贴0.6-3美元），推动重卡领域应用，尼古拉公司氢能重卡补能时间仅15分钟，较电动车型快12倍，低温续航衰减不足10%。区域性氢能中心建设加速产业协同，德克萨斯州绿氢合成氨项目年产能达120万吨，通过液氨储运模式拓展航运脱碳应用场景。</w:t>
      </w:r>
    </w:p>
    <w:p w14:paraId="5ACAE4B9">
      <w:pPr>
        <w:widowControl/>
        <w:topLinePunct/>
        <w:spacing w:before="240" w:after="120"/>
        <w:outlineLvl w:val="2"/>
        <w:rPr>
          <w:rFonts w:hint="default" w:ascii="黑体" w:hAnsi="Times New Roman" w:eastAsia="黑体" w:cs="Times New Roman"/>
          <w:bCs/>
          <w:sz w:val="28"/>
          <w:szCs w:val="28"/>
          <w:lang w:val="en-US" w:eastAsia="zh-CN"/>
        </w:rPr>
      </w:pPr>
      <w:bookmarkStart w:id="41" w:name="_Toc20186"/>
      <w:r>
        <w:rPr>
          <w:rFonts w:hint="default" w:ascii="黑体" w:hAnsi="Times New Roman" w:eastAsia="黑体" w:cs="Times New Roman"/>
          <w:bCs/>
          <w:sz w:val="28"/>
          <w:szCs w:val="28"/>
          <w:lang w:val="en-US" w:eastAsia="zh-CN"/>
        </w:rPr>
        <w:t>6.2 中国实践样本</w:t>
      </w:r>
      <w:bookmarkEnd w:id="41"/>
    </w:p>
    <w:p w14:paraId="52A85AD0">
      <w:pPr>
        <w:rPr>
          <w:rFonts w:hint="default"/>
          <w:lang w:val="en-US" w:eastAsia="zh-CN"/>
        </w:rPr>
      </w:pPr>
      <w:r>
        <w:rPr>
          <w:rFonts w:hint="default" w:ascii="黑体" w:hAnsi="Times New Roman" w:eastAsia="黑体" w:cs="Times New Roman"/>
          <w:b w:val="0"/>
          <w:bCs/>
          <w:kern w:val="2"/>
          <w:sz w:val="24"/>
          <w:szCs w:val="24"/>
          <w:lang w:val="en-US" w:eastAsia="zh-CN" w:bidi="ar-SA"/>
        </w:rPr>
        <w:t>6.2.1 山东“氢能重卡先行区”：港口物流场景的规模化突破</w:t>
      </w:r>
    </w:p>
    <w:p w14:paraId="146D7FDD">
      <w:pPr>
        <w:ind w:firstLine="420" w:firstLineChars="0"/>
        <w:rPr>
          <w:rFonts w:hint="default"/>
          <w:lang w:val="en-US" w:eastAsia="zh-CN"/>
        </w:rPr>
      </w:pPr>
      <w:r>
        <w:rPr>
          <w:rFonts w:hint="default"/>
          <w:lang w:val="en-US" w:eastAsia="zh-CN"/>
        </w:rPr>
        <w:t>山东省依托青岛港、日照港等物流枢纽，打造全球最大氢能重卡运营网络，实现氢燃料电池汽车在重载场景的深度渗透。技术端，潍柴动力研发的200kW氢燃料电池系统通过非对称流道设计，功率密度突破4.5kW/L，低温冷启动时间缩短至30秒（-30℃环境），适配港口24小时作业需求。青岛港投入300辆氢能集卡，日均作业量超1200标箱，单日氢耗80kg/车，较柴油车燃料成本下降18%，年减排CO₂ 7.2万吨。政策端创新“氢能高速”体系，对氢能重卡免收省内高速通行费（年均节省6万元/车），并实施加氢站建设补贴（设备投资30%），推动全省加氢站密度达每百公里2.5座，负荷率提升至65%。这种“场景驱动-技术适配-政策兜底”模式，使山东氢能重卡保有量突破5000辆，占全国总量的40%，验证了氢能汽车在干线物流领域的经济可行性。</w:t>
      </w:r>
    </w:p>
    <w:p w14:paraId="1EA79D42">
      <w:pPr>
        <w:rPr>
          <w:rFonts w:hint="eastAsia" w:eastAsia="宋体"/>
          <w:lang w:val="en-US" w:eastAsia="zh-CN"/>
        </w:rPr>
      </w:pPr>
      <w:r>
        <w:rPr>
          <w:rFonts w:ascii="宋体" w:hAnsi="宋体" w:eastAsia="宋体" w:cs="宋体"/>
          <w:sz w:val="24"/>
          <w:szCs w:val="24"/>
        </w:rPr>
        <w:drawing>
          <wp:inline distT="0" distB="0" distL="114300" distR="114300">
            <wp:extent cx="1778000" cy="1239520"/>
            <wp:effectExtent l="0" t="0" r="3175" b="8255"/>
            <wp:docPr id="2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IMG_256"/>
                    <pic:cNvPicPr>
                      <a:picLocks noChangeAspect="1"/>
                    </pic:cNvPicPr>
                  </pic:nvPicPr>
                  <pic:blipFill>
                    <a:blip r:embed="rId23"/>
                    <a:stretch>
                      <a:fillRect/>
                    </a:stretch>
                  </pic:blipFill>
                  <pic:spPr>
                    <a:xfrm>
                      <a:off x="0" y="0"/>
                      <a:ext cx="1778000" cy="1239520"/>
                    </a:xfrm>
                    <a:prstGeom prst="rect">
                      <a:avLst/>
                    </a:prstGeom>
                    <a:noFill/>
                    <a:ln w="9525">
                      <a:noFill/>
                    </a:ln>
                  </pic:spPr>
                </pic:pic>
              </a:graphicData>
            </a:graphic>
          </wp:inline>
        </w:drawing>
      </w:r>
      <w:r>
        <w:rPr>
          <w:rFonts w:hint="eastAsia" w:eastAsia="宋体"/>
          <w:lang w:val="en-US" w:eastAsia="zh-CN"/>
        </w:rPr>
        <w:drawing>
          <wp:inline distT="0" distB="0" distL="114300" distR="114300">
            <wp:extent cx="1672590" cy="1239520"/>
            <wp:effectExtent l="0" t="0" r="3810" b="8255"/>
            <wp:docPr id="28" name="图片 28" descr="7fa4ff49a7089baa8b348ae00b9e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7fa4ff49a7089baa8b348ae00b9ea9e"/>
                    <pic:cNvPicPr>
                      <a:picLocks noChangeAspect="1"/>
                    </pic:cNvPicPr>
                  </pic:nvPicPr>
                  <pic:blipFill>
                    <a:blip r:embed="rId24"/>
                    <a:stretch>
                      <a:fillRect/>
                    </a:stretch>
                  </pic:blipFill>
                  <pic:spPr>
                    <a:xfrm>
                      <a:off x="0" y="0"/>
                      <a:ext cx="1672590" cy="1239520"/>
                    </a:xfrm>
                    <a:prstGeom prst="rect">
                      <a:avLst/>
                    </a:prstGeom>
                  </pic:spPr>
                </pic:pic>
              </a:graphicData>
            </a:graphic>
          </wp:inline>
        </w:drawing>
      </w:r>
      <w:r>
        <w:rPr>
          <w:rFonts w:hint="eastAsia" w:eastAsia="宋体"/>
          <w:lang w:val="en-US" w:eastAsia="zh-CN"/>
        </w:rPr>
        <w:drawing>
          <wp:inline distT="0" distB="0" distL="114300" distR="114300">
            <wp:extent cx="1715135" cy="1238885"/>
            <wp:effectExtent l="0" t="0" r="8890" b="8890"/>
            <wp:docPr id="29" name="图片 29" descr="5111f562089498296a3dbe8880db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111f562089498296a3dbe8880db033"/>
                    <pic:cNvPicPr>
                      <a:picLocks noChangeAspect="1"/>
                    </pic:cNvPicPr>
                  </pic:nvPicPr>
                  <pic:blipFill>
                    <a:blip r:embed="rId25"/>
                    <a:stretch>
                      <a:fillRect/>
                    </a:stretch>
                  </pic:blipFill>
                  <pic:spPr>
                    <a:xfrm>
                      <a:off x="0" y="0"/>
                      <a:ext cx="1715135" cy="1238885"/>
                    </a:xfrm>
                    <a:prstGeom prst="rect">
                      <a:avLst/>
                    </a:prstGeom>
                  </pic:spPr>
                </pic:pic>
              </a:graphicData>
            </a:graphic>
          </wp:inline>
        </w:drawing>
      </w:r>
    </w:p>
    <w:p w14:paraId="0A8913C1">
      <w:pPr>
        <w:jc w:val="center"/>
        <w:rPr>
          <w:rFonts w:hint="default"/>
          <w:lang w:val="en-US" w:eastAsia="zh-CN"/>
        </w:rPr>
      </w:pPr>
      <w:r>
        <w:rPr>
          <w:rFonts w:hint="eastAsia"/>
          <w:sz w:val="18"/>
          <w:szCs w:val="18"/>
          <w:lang w:val="en-US" w:eastAsia="zh-CN"/>
        </w:rPr>
        <w:t>图15：山东氢能重卡</w:t>
      </w:r>
    </w:p>
    <w:p w14:paraId="36F58B75">
      <w:pPr>
        <w:rPr>
          <w:rFonts w:hint="default"/>
          <w:lang w:val="en-US" w:eastAsia="zh-CN"/>
        </w:rPr>
      </w:pPr>
      <w:r>
        <w:rPr>
          <w:rFonts w:hint="default" w:ascii="黑体" w:hAnsi="Times New Roman" w:eastAsia="黑体" w:cs="Times New Roman"/>
          <w:b w:val="0"/>
          <w:bCs/>
          <w:kern w:val="2"/>
          <w:sz w:val="24"/>
          <w:szCs w:val="24"/>
          <w:lang w:val="en-US" w:eastAsia="zh-CN" w:bidi="ar-SA"/>
        </w:rPr>
        <w:t>6.2.2 长三角燃料电池汽车产业集群：技术协同与生态闭环</w:t>
      </w:r>
    </w:p>
    <w:p w14:paraId="2B203E75">
      <w:pPr>
        <w:ind w:firstLine="420" w:firstLineChars="0"/>
        <w:rPr>
          <w:rFonts w:hint="default"/>
          <w:lang w:val="en-US" w:eastAsia="zh-CN"/>
        </w:rPr>
      </w:pPr>
      <w:r>
        <w:rPr>
          <w:rFonts w:hint="default"/>
          <w:lang w:val="en-US" w:eastAsia="zh-CN"/>
        </w:rPr>
        <w:t>长三角通过《燃料电池汽车城市群示范应用计划》，形成以上海为研发核心、江苏为制造基地、浙江为场景落地的氢能汽车产业带。核心技术突破方面，上海捷氢科技研发的PROME P4H电堆铂载量降至0.12g/kW，功率密度达4.2kW/L，成本突破30元/kW；江苏国富氢能70MPa IV型储氢瓶碳纤维国产化率85%，质量储氢密度6.3wt%，支撑氢能重卡续航突破1000公里。产业协同构建闭环生态：南通-张家港输氢管道将绿氢运输成本压缩至0.8元/kg·100km，嘉兴港区建成全球最大氢能重卡运营基地（1000辆），车辆利用率达92%，氢耗成本较柴油车低22%。政策端打破行政壁垒，实施氢能车辆跨省通行“白名单”、加氢站建设标准互认（间距≤50km），并允许跨省交易绿氢碳减排量（CCER）。截至2023年，长三角燃料电池汽车保有量超1.2万辆，加氢站密度全国第一（0.8座/千平方公里），形成技术-制造-市场的内生循环体系</w:t>
      </w:r>
      <w:r>
        <w:rPr>
          <w:rFonts w:hint="eastAsia"/>
          <w:lang w:val="en-US" w:eastAsia="zh-CN"/>
        </w:rPr>
        <w:t>[21]</w:t>
      </w:r>
      <w:r>
        <w:rPr>
          <w:rFonts w:hint="default"/>
          <w:lang w:val="en-US" w:eastAsia="zh-CN"/>
        </w:rPr>
        <w:t>。</w:t>
      </w:r>
    </w:p>
    <w:p w14:paraId="7FF326CB">
      <w:pPr>
        <w:rPr>
          <w:rFonts w:hint="default"/>
          <w:lang w:val="en-US" w:eastAsia="zh-CN"/>
        </w:rPr>
      </w:pPr>
      <w:r>
        <w:rPr>
          <w:rFonts w:hint="default"/>
          <w:lang w:val="en-US" w:eastAsia="zh-CN"/>
        </w:rPr>
        <w:drawing>
          <wp:inline distT="0" distB="0" distL="114300" distR="114300">
            <wp:extent cx="2520315" cy="1680210"/>
            <wp:effectExtent l="0" t="0" r="3810" b="5715"/>
            <wp:docPr id="30" name="图片 30" descr="ec52e0c33e673c2098c175692b67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c52e0c33e673c2098c175692b67e84"/>
                    <pic:cNvPicPr>
                      <a:picLocks noChangeAspect="1"/>
                    </pic:cNvPicPr>
                  </pic:nvPicPr>
                  <pic:blipFill>
                    <a:blip r:embed="rId26"/>
                    <a:stretch>
                      <a:fillRect/>
                    </a:stretch>
                  </pic:blipFill>
                  <pic:spPr>
                    <a:xfrm>
                      <a:off x="0" y="0"/>
                      <a:ext cx="2520315" cy="1680210"/>
                    </a:xfrm>
                    <a:prstGeom prst="rect">
                      <a:avLst/>
                    </a:prstGeom>
                  </pic:spPr>
                </pic:pic>
              </a:graphicData>
            </a:graphic>
          </wp:inline>
        </w:drawing>
      </w:r>
      <w:r>
        <w:rPr>
          <w:rFonts w:hint="default"/>
          <w:lang w:val="en-US" w:eastAsia="zh-CN"/>
        </w:rPr>
        <w:drawing>
          <wp:inline distT="0" distB="0" distL="114300" distR="114300">
            <wp:extent cx="2674620" cy="1672590"/>
            <wp:effectExtent l="0" t="0" r="1905" b="3810"/>
            <wp:docPr id="31" name="图片 31" descr="40eaa201e85ea91733b05955628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0eaa201e85ea91733b059556282987"/>
                    <pic:cNvPicPr>
                      <a:picLocks noChangeAspect="1"/>
                    </pic:cNvPicPr>
                  </pic:nvPicPr>
                  <pic:blipFill>
                    <a:blip r:embed="rId27"/>
                    <a:stretch>
                      <a:fillRect/>
                    </a:stretch>
                  </pic:blipFill>
                  <pic:spPr>
                    <a:xfrm>
                      <a:off x="0" y="0"/>
                      <a:ext cx="2674620" cy="1672590"/>
                    </a:xfrm>
                    <a:prstGeom prst="rect">
                      <a:avLst/>
                    </a:prstGeom>
                  </pic:spPr>
                </pic:pic>
              </a:graphicData>
            </a:graphic>
          </wp:inline>
        </w:drawing>
      </w:r>
    </w:p>
    <w:p w14:paraId="6164E02D">
      <w:pPr>
        <w:jc w:val="center"/>
        <w:rPr>
          <w:rFonts w:hint="default"/>
          <w:lang w:val="en-US" w:eastAsia="zh-CN"/>
        </w:rPr>
      </w:pPr>
      <w:r>
        <w:rPr>
          <w:rFonts w:hint="eastAsia"/>
          <w:sz w:val="18"/>
          <w:szCs w:val="18"/>
          <w:lang w:val="en-US" w:eastAsia="zh-CN"/>
        </w:rPr>
        <w:t>图16：长三角燃料电池汽车</w:t>
      </w:r>
    </w:p>
    <w:p w14:paraId="071FF7AA">
      <w:pPr>
        <w:rPr>
          <w:rFonts w:hint="default"/>
          <w:lang w:val="en-US" w:eastAsia="zh-CN"/>
        </w:rPr>
      </w:pPr>
    </w:p>
    <w:p w14:paraId="74960329">
      <w:pPr>
        <w:rPr>
          <w:rFonts w:hint="default"/>
          <w:lang w:val="en-US" w:eastAsia="zh-CN"/>
        </w:rPr>
      </w:pPr>
      <w:r>
        <w:rPr>
          <w:rFonts w:hint="default" w:ascii="黑体" w:hAnsi="Times New Roman" w:eastAsia="黑体" w:cs="Times New Roman"/>
          <w:b w:val="0"/>
          <w:bCs/>
          <w:kern w:val="2"/>
          <w:sz w:val="24"/>
          <w:szCs w:val="24"/>
          <w:lang w:val="en-US" w:eastAsia="zh-CN" w:bidi="ar-SA"/>
        </w:rPr>
        <w:t>6.2.3 张家口冬奥氢能交通示范：极寒环境的可靠性验证</w:t>
      </w:r>
    </w:p>
    <w:p w14:paraId="4DDC534A">
      <w:pPr>
        <w:ind w:firstLine="420" w:firstLineChars="0"/>
        <w:rPr>
          <w:rFonts w:hint="default"/>
          <w:lang w:val="en-US" w:eastAsia="zh-CN"/>
        </w:rPr>
      </w:pPr>
      <w:r>
        <w:rPr>
          <w:rFonts w:hint="default"/>
          <w:lang w:val="en-US" w:eastAsia="zh-CN"/>
        </w:rPr>
        <w:t>借助2022冬奥会契机，张家口建成全球首个高寒地区氢能汽车规模化应用样板。技术端攻克低温适应性难题：亿华通研发的第三代燃料电池系统通过阴极闭式排水和阳极脉冲吹扫技术，-40℃冷启动时间压缩至110秒，系统寿命延长至1.8万小时。冬奥期间投入氢能大巴724辆，累计运行270万公里，单车日均加氢35kg，氢耗成本0.85元/km（较柴油车低15%），在崇礼赛区-25℃环境下实现零故障运行。基础设施创新方面，建成19座智能化加氢站，集成风光储氢一体化能源补给系统，单站日加注能力达2吨，设备利用率72%。后冬奥时代，该模式延展至城市公交（投运300辆氢能公交），并构建“制氢工厂-输氢管网-加氢站”体系，绿氢成本降至18元/kg，支撑氢能汽车全生命周期成本（TCO）较燃油车提前5年实现平价。</w:t>
      </w:r>
    </w:p>
    <w:p w14:paraId="079B8387">
      <w:pPr>
        <w:rPr>
          <w:rFonts w:hint="default"/>
          <w:lang w:val="en-US" w:eastAsia="zh-CN"/>
        </w:rPr>
      </w:pPr>
      <w:r>
        <w:rPr>
          <w:rFonts w:hint="default"/>
          <w:lang w:val="en-US" w:eastAsia="zh-CN"/>
        </w:rPr>
        <w:drawing>
          <wp:inline distT="0" distB="0" distL="114300" distR="114300">
            <wp:extent cx="2067560" cy="1443355"/>
            <wp:effectExtent l="0" t="0" r="8890" b="4445"/>
            <wp:docPr id="32" name="图片 32" descr="d9aa2bbd6ee7fd6c9502cc690d7e5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9aa2bbd6ee7fd6c9502cc690d7e59a"/>
                    <pic:cNvPicPr>
                      <a:picLocks noChangeAspect="1"/>
                    </pic:cNvPicPr>
                  </pic:nvPicPr>
                  <pic:blipFill>
                    <a:blip r:embed="rId28"/>
                    <a:stretch>
                      <a:fillRect/>
                    </a:stretch>
                  </pic:blipFill>
                  <pic:spPr>
                    <a:xfrm>
                      <a:off x="0" y="0"/>
                      <a:ext cx="2067560" cy="1443355"/>
                    </a:xfrm>
                    <a:prstGeom prst="rect">
                      <a:avLst/>
                    </a:prstGeom>
                  </pic:spPr>
                </pic:pic>
              </a:graphicData>
            </a:graphic>
          </wp:inline>
        </w:drawing>
      </w:r>
      <w:r>
        <w:rPr>
          <w:rFonts w:hint="default"/>
          <w:lang w:val="en-US" w:eastAsia="zh-CN"/>
        </w:rPr>
        <w:drawing>
          <wp:inline distT="0" distB="0" distL="114300" distR="114300">
            <wp:extent cx="3077845" cy="1415415"/>
            <wp:effectExtent l="0" t="0" r="8255" b="3810"/>
            <wp:docPr id="33" name="图片 33" descr="527504f4e6072276d8142ff25f997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527504f4e6072276d8142ff25f997ad"/>
                    <pic:cNvPicPr>
                      <a:picLocks noChangeAspect="1"/>
                    </pic:cNvPicPr>
                  </pic:nvPicPr>
                  <pic:blipFill>
                    <a:blip r:embed="rId29"/>
                    <a:stretch>
                      <a:fillRect/>
                    </a:stretch>
                  </pic:blipFill>
                  <pic:spPr>
                    <a:xfrm>
                      <a:off x="0" y="0"/>
                      <a:ext cx="3077845" cy="1415415"/>
                    </a:xfrm>
                    <a:prstGeom prst="rect">
                      <a:avLst/>
                    </a:prstGeom>
                  </pic:spPr>
                </pic:pic>
              </a:graphicData>
            </a:graphic>
          </wp:inline>
        </w:drawing>
      </w:r>
    </w:p>
    <w:p w14:paraId="637D6A67">
      <w:pPr>
        <w:jc w:val="center"/>
        <w:rPr>
          <w:rFonts w:hint="default"/>
          <w:lang w:val="en-US" w:eastAsia="zh-CN"/>
        </w:rPr>
      </w:pPr>
      <w:r>
        <w:rPr>
          <w:rFonts w:hint="eastAsia"/>
          <w:sz w:val="18"/>
          <w:szCs w:val="18"/>
          <w:lang w:val="en-US" w:eastAsia="zh-CN"/>
        </w:rPr>
        <w:t>图17：张家口东奥氢能示范</w:t>
      </w:r>
    </w:p>
    <w:p w14:paraId="0951665D">
      <w:pPr>
        <w:rPr>
          <w:rFonts w:hint="default"/>
          <w:lang w:val="en-US" w:eastAsia="zh-CN"/>
        </w:rPr>
      </w:pPr>
    </w:p>
    <w:p w14:paraId="0C1141DC">
      <w:pPr>
        <w:rPr>
          <w:rFonts w:hint="default"/>
          <w:lang w:val="en-US" w:eastAsia="zh-CN"/>
        </w:rPr>
      </w:pPr>
      <w:r>
        <w:rPr>
          <w:rFonts w:hint="default" w:ascii="黑体" w:hAnsi="Times New Roman" w:eastAsia="黑体" w:cs="Times New Roman"/>
          <w:b w:val="0"/>
          <w:bCs/>
          <w:kern w:val="2"/>
          <w:sz w:val="24"/>
          <w:szCs w:val="24"/>
          <w:lang w:val="en-US" w:eastAsia="zh-CN" w:bidi="ar-SA"/>
        </w:rPr>
        <w:t>6.2.4 佛山氢能市政车辆示范：城市零碳交通的民生实践</w:t>
      </w:r>
    </w:p>
    <w:p w14:paraId="0160735A">
      <w:pPr>
        <w:ind w:firstLine="420" w:firstLineChars="0"/>
        <w:rPr>
          <w:rFonts w:hint="default"/>
          <w:lang w:val="en-US" w:eastAsia="zh-CN"/>
        </w:rPr>
      </w:pPr>
      <w:r>
        <w:rPr>
          <w:rFonts w:hint="default"/>
          <w:lang w:val="en-US" w:eastAsia="zh-CN"/>
        </w:rPr>
        <w:t>佛山市聚焦市政交通场景，开创氢能汽车民生化应用新路径。飞驰科技研发的18吨氢能环卫车搭载120kW燃料电池系统，续航里程突破500公里，作业噪声较柴油车降低20dB，已在南海区投运200辆，日均作业8小时，氢耗成本0.78元/km，较传统车辆节省运维费用35%。氢能公共交通创新更具突破性：全球首条氢能有轨电车（南海新交通试验线）采用储氢系统+燃料电池混合动力，百公里氢耗4.5kg，较纯电车型减重30%，建设成本降低25%。商业模式上推行“氢车分离”，由氢能运营平台统一购置车辆并租赁给市政部门，结合“氢能惠民券”（加氢补贴至25元/kg），使市政用车氢能替代率提升至40%。这种“技术普惠-模式创新-民生受益”路径，使佛山氢能市政车辆保有量突破800辆，日均减排CO₂ 120吨，为城市交通零碳转型提供范本</w:t>
      </w:r>
      <w:r>
        <w:rPr>
          <w:rFonts w:hint="eastAsia"/>
          <w:lang w:val="en-US" w:eastAsia="zh-CN"/>
        </w:rPr>
        <w:t>[22]</w:t>
      </w:r>
      <w:r>
        <w:rPr>
          <w:rFonts w:hint="default"/>
          <w:lang w:val="en-US" w:eastAsia="zh-CN"/>
        </w:rPr>
        <w:t>。</w:t>
      </w:r>
    </w:p>
    <w:p w14:paraId="3D8663BE">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CFCFC"/>
        <w:spacing w:before="0" w:beforeAutospacing="0"/>
        <w:ind w:left="0" w:firstLine="0"/>
        <w:textAlignment w:val="baseline"/>
        <w:rPr>
          <w:rFonts w:ascii="Segoe UI" w:hAnsi="Segoe UI" w:eastAsia="Segoe UI" w:cs="Segoe UI"/>
          <w:b/>
          <w:bCs/>
          <w:i w:val="0"/>
          <w:iCs w:val="0"/>
          <w:caps w:val="0"/>
          <w:spacing w:val="0"/>
        </w:rPr>
      </w:pPr>
      <w:bookmarkStart w:id="42" w:name="_Toc17417"/>
      <w:r>
        <w:rPr>
          <w:rFonts w:hint="default" w:ascii="黑体" w:hAnsi="Times New Roman" w:eastAsia="黑体" w:cs="Times New Roman"/>
          <w:b w:val="0"/>
          <w:bCs/>
          <w:kern w:val="2"/>
          <w:sz w:val="30"/>
          <w:szCs w:val="30"/>
          <w:lang w:val="en-US" w:eastAsia="zh-CN" w:bidi="ar-SA"/>
        </w:rPr>
        <w:t>七、结论与展望</w:t>
      </w:r>
      <w:r>
        <w:rPr>
          <w:rFonts w:hint="eastAsia" w:ascii="黑体" w:hAnsi="Times New Roman" w:eastAsia="黑体" w:cs="Times New Roman"/>
          <w:b w:val="0"/>
          <w:bCs/>
          <w:kern w:val="2"/>
          <w:sz w:val="30"/>
          <w:szCs w:val="30"/>
          <w:lang w:val="en-US" w:eastAsia="zh-CN" w:bidi="ar-SA"/>
        </w:rPr>
        <w:t>：</w:t>
      </w:r>
      <w:r>
        <w:rPr>
          <w:rFonts w:hint="default" w:ascii="Segoe UI" w:hAnsi="Segoe UI" w:eastAsia="Segoe UI" w:cs="Segoe UI"/>
          <w:b/>
          <w:bCs/>
          <w:i w:val="0"/>
          <w:iCs w:val="0"/>
          <w:caps w:val="0"/>
          <w:spacing w:val="0"/>
          <w:shd w:val="clear" w:fill="FCFCFC"/>
          <w:vertAlign w:val="baseline"/>
        </w:rPr>
        <w:t>汽车能源动力系统的代际重构逻辑</w:t>
      </w:r>
      <w:bookmarkEnd w:id="42"/>
    </w:p>
    <w:p w14:paraId="27A7CFE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氢基能源的崛起标志着汽车动力系统正经历从“单一能源依赖”向“多元协同共生”的范式革命。未来能源架构将呈现“锂电主城内短途、氢能主城外干线”的互补格局：锂电池凭借充电便利性主导乘用车市场，而氢燃料电池以其质量能量密度优势（汽油2.8倍）和-40℃环境适应性，成为重卡、船舶及极地特种车辆的不可替代选项。这种分化并非技术路线的零和博弈，而是能源禀赋与场景需求的精准匹配——当补能时间敏感度超过0.6（长途货运场景阈值），氢能动力系统的全生命周期成本（TCO）将较纯电车型降低35%。</w:t>
      </w:r>
    </w:p>
    <w:p w14:paraId="29644A0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更深层的变革在于动力系统与能源网络的生态耦合。车载储氢系统通过V2G（车网互动）技术参与电网调峰，单辆氢能重卡可调节200kWh储能容量；加氢站则演变为“制-储-充-换”一体化的微型能源枢纽，张家口示范站通过风光储氢协同将弃电利用率提升至98%。这种车-能协同不仅重构动力系统的价值边界，更催生氢能期货交易、碳足迹认证等新兴市场，预计到2035年衍生市场规模将达动力总成制造的3.2倍。</w:t>
      </w:r>
    </w:p>
    <w:p w14:paraId="3F2611B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spacing w:after="0" w:afterAutospacing="0"/>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中国汽车动力系统的跃迁路径需突破三重约束：技术端实现PEMFC电堆无铂化（Fe-N-C催化剂活性达铂基90%）与固态储氢密度突破9wt%；产业端构建“西氢东送”管道网络（运输成本&lt;0.5元/kg·千公里）与跨场景标准化加注协议；制度端创新绿氢配额交易与碳税-氢补联动机制。唯有完成“材料革新-基建先行-市场激活”的正反馈循环，方能实现从“能源革命追随者”向“动力范式定义者”的质变，为人类移动文明开辟碳中和时代的第三条道路。</w:t>
      </w:r>
    </w:p>
    <w:p w14:paraId="0BF5B4D5">
      <w:pPr>
        <w:widowControl/>
        <w:topLinePunct/>
        <w:spacing w:before="480" w:after="120"/>
        <w:outlineLvl w:val="1"/>
        <w:rPr>
          <w:rFonts w:ascii="黑体" w:hAnsi="Times New Roman" w:eastAsia="黑体" w:cs="Times New Roman"/>
          <w:bCs/>
          <w:sz w:val="30"/>
          <w:szCs w:val="30"/>
        </w:rPr>
      </w:pPr>
      <w:bookmarkStart w:id="43" w:name="_Toc23065"/>
      <w:r>
        <w:rPr>
          <w:rFonts w:hint="eastAsia" w:ascii="黑体" w:hAnsi="Times New Roman" w:eastAsia="黑体" w:cs="Times New Roman"/>
          <w:bCs/>
          <w:sz w:val="30"/>
          <w:szCs w:val="30"/>
        </w:rPr>
        <w:t>参考文献：</w:t>
      </w:r>
      <w:bookmarkEnd w:id="43"/>
    </w:p>
    <w:p w14:paraId="50DFDED6">
      <w:pPr>
        <w:widowControl w:val="0"/>
        <w:numPr>
          <w:ilvl w:val="0"/>
          <w:numId w:val="1"/>
        </w:numPr>
        <w:jc w:val="both"/>
        <w:rPr>
          <w:rFonts w:hint="default"/>
          <w:lang w:val="en-US" w:eastAsia="zh-CN"/>
        </w:rPr>
      </w:pPr>
      <w:r>
        <w:rPr>
          <w:rFonts w:hint="default"/>
          <w:lang w:val="en-US" w:eastAsia="zh-CN"/>
        </w:rPr>
        <w:t>Hu, Y. (2023). Feasibility analysis of coordinated development of hydrogen energy and solar energy. ESAET, 50, 220.</w:t>
      </w:r>
    </w:p>
    <w:p w14:paraId="6A5A37D3">
      <w:pPr>
        <w:widowControl w:val="0"/>
        <w:numPr>
          <w:ilvl w:val="0"/>
          <w:numId w:val="1"/>
        </w:numPr>
        <w:jc w:val="both"/>
        <w:rPr>
          <w:rFonts w:hint="default"/>
          <w:lang w:val="en-US" w:eastAsia="zh-CN"/>
        </w:rPr>
      </w:pPr>
      <w:r>
        <w:rPr>
          <w:rFonts w:hint="eastAsia"/>
          <w:lang w:val="en-US" w:eastAsia="zh-CN"/>
        </w:rPr>
        <w:t>赵鹏</w:t>
      </w:r>
      <w:r>
        <w:rPr>
          <w:rFonts w:hint="default"/>
          <w:lang w:val="en-US" w:eastAsia="zh-CN"/>
        </w:rPr>
        <w:t>. (2023). 氢能源汽车的关键技术研究. 工业技术, 4(4). ISSN 2661-3662</w:t>
      </w:r>
    </w:p>
    <w:p w14:paraId="7F580BBE">
      <w:pPr>
        <w:widowControl w:val="0"/>
        <w:numPr>
          <w:ilvl w:val="0"/>
          <w:numId w:val="1"/>
        </w:numPr>
        <w:jc w:val="both"/>
        <w:rPr>
          <w:rFonts w:hint="default"/>
          <w:lang w:val="en-US" w:eastAsia="zh-CN"/>
        </w:rPr>
      </w:pPr>
      <w:r>
        <w:rPr>
          <w:rFonts w:hint="default"/>
          <w:lang w:val="en-US" w:eastAsia="zh-CN"/>
        </w:rPr>
        <w:t xml:space="preserve">Torres-Ceron, D. A., (2025). Scientometric analysis of computational calculations on hydrogen adsorption. Global Journal of Environmental Science and Management, 11(1), 295-320. </w:t>
      </w:r>
      <w:r>
        <w:rPr>
          <w:rFonts w:hint="default"/>
          <w:lang w:val="en-US" w:eastAsia="zh-CN"/>
        </w:rPr>
        <w:fldChar w:fldCharType="begin"/>
      </w:r>
      <w:r>
        <w:rPr>
          <w:rFonts w:hint="default"/>
          <w:lang w:val="en-US" w:eastAsia="zh-CN"/>
        </w:rPr>
        <w:instrText xml:space="preserve"> HYPERLINK "https://doi.org/10.22034/GJESM.2025.11.1.41" </w:instrText>
      </w:r>
      <w:r>
        <w:rPr>
          <w:rFonts w:hint="default"/>
          <w:lang w:val="en-US" w:eastAsia="zh-CN"/>
        </w:rPr>
        <w:fldChar w:fldCharType="separate"/>
      </w:r>
      <w:r>
        <w:rPr>
          <w:rStyle w:val="12"/>
          <w:rFonts w:hint="default"/>
          <w:lang w:val="en-US" w:eastAsia="zh-CN"/>
        </w:rPr>
        <w:t>https://doi.org/10.22034/GJESM.2025.11.1.41</w:t>
      </w:r>
      <w:r>
        <w:rPr>
          <w:rFonts w:hint="default"/>
          <w:lang w:val="en-US" w:eastAsia="zh-CN"/>
        </w:rPr>
        <w:fldChar w:fldCharType="end"/>
      </w:r>
    </w:p>
    <w:p w14:paraId="536C512B">
      <w:pPr>
        <w:widowControl w:val="0"/>
        <w:numPr>
          <w:ilvl w:val="0"/>
          <w:numId w:val="1"/>
        </w:numPr>
        <w:jc w:val="both"/>
        <w:rPr>
          <w:rFonts w:hint="default"/>
          <w:lang w:val="en-US" w:eastAsia="zh-CN"/>
        </w:rPr>
      </w:pPr>
      <w:r>
        <w:rPr>
          <w:rFonts w:hint="default"/>
          <w:lang w:val="en-US" w:eastAsia="zh-CN"/>
        </w:rPr>
        <w:t xml:space="preserve">OECD (2017), Decentralisation and Multi-level Governance in Kazakhstan, OECD Public Governance Reviews, OECD Publishing, Paris, </w:t>
      </w:r>
      <w:r>
        <w:rPr>
          <w:rFonts w:hint="default"/>
          <w:lang w:val="en-US" w:eastAsia="zh-CN"/>
        </w:rPr>
        <w:fldChar w:fldCharType="begin"/>
      </w:r>
      <w:r>
        <w:rPr>
          <w:rFonts w:hint="default"/>
          <w:lang w:val="en-US" w:eastAsia="zh-CN"/>
        </w:rPr>
        <w:instrText xml:space="preserve"> HYPERLINK "https://doi.org/10.1787/9789264280700-en." </w:instrText>
      </w:r>
      <w:r>
        <w:rPr>
          <w:rFonts w:hint="default"/>
          <w:lang w:val="en-US" w:eastAsia="zh-CN"/>
        </w:rPr>
        <w:fldChar w:fldCharType="separate"/>
      </w:r>
      <w:r>
        <w:rPr>
          <w:rStyle w:val="12"/>
          <w:rFonts w:hint="default"/>
          <w:lang w:val="en-US" w:eastAsia="zh-CN"/>
        </w:rPr>
        <w:t>https://doi.org/10.1787/9789264280700-en.</w:t>
      </w:r>
      <w:r>
        <w:rPr>
          <w:rFonts w:hint="default"/>
          <w:lang w:val="en-US" w:eastAsia="zh-CN"/>
        </w:rPr>
        <w:fldChar w:fldCharType="end"/>
      </w:r>
    </w:p>
    <w:p w14:paraId="5E439CBC">
      <w:pPr>
        <w:widowControl w:val="0"/>
        <w:numPr>
          <w:ilvl w:val="0"/>
          <w:numId w:val="1"/>
        </w:numPr>
        <w:jc w:val="both"/>
        <w:rPr>
          <w:rFonts w:hint="default"/>
          <w:lang w:val="en-US" w:eastAsia="zh-CN"/>
        </w:rPr>
      </w:pPr>
      <w:r>
        <w:rPr>
          <w:rFonts w:hint="default"/>
          <w:lang w:val="en-US" w:eastAsia="zh-CN"/>
        </w:rPr>
        <w:t>肖佳珉,郭唱,江大发,等. 轨道交通车辆储氢技术研究[J]. 电力机车与城轨车辆,2024,47(5):20-24. DOI:10.16212/j.cnki.1672-1187.2024.05.004.</w:t>
      </w:r>
    </w:p>
    <w:p w14:paraId="63F68E11">
      <w:pPr>
        <w:widowControl w:val="0"/>
        <w:numPr>
          <w:ilvl w:val="0"/>
          <w:numId w:val="1"/>
        </w:numPr>
        <w:jc w:val="both"/>
        <w:rPr>
          <w:rFonts w:hint="default"/>
          <w:lang w:val="en-US" w:eastAsia="zh-CN"/>
        </w:rPr>
      </w:pPr>
      <w:r>
        <w:rPr>
          <w:rFonts w:hint="default"/>
          <w:lang w:val="en-US" w:eastAsia="zh-CN"/>
        </w:rPr>
        <w:t>刘吉仁. "双碳"视域下氢燃料电池汽车储氢技术现状及发展方向[J]. 自动化应用,2024,65(15):146-149. DOI:10.19769/j.zdhy.2024.15.040.</w:t>
      </w:r>
    </w:p>
    <w:p w14:paraId="22020D1F">
      <w:pPr>
        <w:widowControl w:val="0"/>
        <w:numPr>
          <w:ilvl w:val="0"/>
          <w:numId w:val="1"/>
        </w:numPr>
        <w:jc w:val="both"/>
        <w:rPr>
          <w:rFonts w:hint="default"/>
          <w:lang w:val="en-US" w:eastAsia="zh-CN"/>
        </w:rPr>
      </w:pPr>
      <w:r>
        <w:rPr>
          <w:rFonts w:hint="default"/>
          <w:lang w:val="en-US" w:eastAsia="zh-CN"/>
        </w:rPr>
        <w:t>董格,许广健,吴胜男. 燃料电池汽车整车技术现状与发展趋势[J]. 汽车工业研究,2024(2):32-39. DOI:10.3969/j.issn.1009-847X.2024.02.007.</w:t>
      </w:r>
    </w:p>
    <w:p w14:paraId="46876A5D">
      <w:pPr>
        <w:widowControl w:val="0"/>
        <w:numPr>
          <w:ilvl w:val="0"/>
          <w:numId w:val="1"/>
        </w:numPr>
        <w:jc w:val="both"/>
        <w:rPr>
          <w:rFonts w:hint="default"/>
          <w:lang w:val="en-US" w:eastAsia="zh-CN"/>
        </w:rPr>
      </w:pPr>
      <w:r>
        <w:rPr>
          <w:rFonts w:hint="default"/>
          <w:lang w:val="en-US" w:eastAsia="zh-CN"/>
        </w:rPr>
        <w:t>李麒. 氢燃料电池汽车关键技术研究现状与前景分析[J]. 电脑校园,2020(9):8443-8444.</w:t>
      </w:r>
    </w:p>
    <w:p w14:paraId="2F0814B9">
      <w:pPr>
        <w:widowControl w:val="0"/>
        <w:numPr>
          <w:ilvl w:val="0"/>
          <w:numId w:val="1"/>
        </w:numPr>
        <w:jc w:val="both"/>
        <w:rPr>
          <w:rFonts w:hint="default"/>
          <w:lang w:val="en-US" w:eastAsia="zh-CN"/>
        </w:rPr>
      </w:pPr>
      <w:r>
        <w:rPr>
          <w:rFonts w:hint="default"/>
          <w:lang w:val="en-US" w:eastAsia="zh-CN"/>
        </w:rPr>
        <w:t>陈雷,程凤军,许栋. 氢燃料电池汽车技术现状及对策建议[J]. 汽车实用技术,2023,48(13):14-19. DOI:10.16638/j.cnki.1671-7988.2023.013.003.</w:t>
      </w:r>
    </w:p>
    <w:p w14:paraId="06F1671B">
      <w:pPr>
        <w:widowControl w:val="0"/>
        <w:numPr>
          <w:ilvl w:val="0"/>
          <w:numId w:val="1"/>
        </w:numPr>
        <w:jc w:val="both"/>
        <w:rPr>
          <w:rFonts w:hint="default"/>
          <w:lang w:val="en-US" w:eastAsia="zh-CN"/>
        </w:rPr>
      </w:pPr>
      <w:r>
        <w:rPr>
          <w:rFonts w:hint="default"/>
          <w:lang w:val="en-US" w:eastAsia="zh-CN"/>
        </w:rPr>
        <w:t>张智,赵苑瑾,蔡楠. 中国氢能产业技术发展现状及未来展望[J]. 天然气工业,2022,42(5):156-165. DOI:10.3787/j.issn.1000-0976.2022.05.017.</w:t>
      </w:r>
    </w:p>
    <w:p w14:paraId="74B1FE01">
      <w:pPr>
        <w:widowControl w:val="0"/>
        <w:numPr>
          <w:ilvl w:val="0"/>
          <w:numId w:val="1"/>
        </w:numPr>
        <w:jc w:val="both"/>
        <w:rPr>
          <w:rFonts w:hint="default"/>
          <w:lang w:val="en-US" w:eastAsia="zh-CN"/>
        </w:rPr>
      </w:pPr>
      <w:r>
        <w:rPr>
          <w:rFonts w:hint="default"/>
          <w:lang w:val="en-US" w:eastAsia="zh-CN"/>
        </w:rPr>
        <w:t>陈轶嵩,兰利波,郝卓,等. 氢燃料电池汽车动力系统生命周期评价及关键参数对比[J]. 环境科学,2022,43(8):4402-4412. DOI:10.13227/j.hjkx.202110178.</w:t>
      </w:r>
    </w:p>
    <w:p w14:paraId="641DB1F1">
      <w:pPr>
        <w:widowControl w:val="0"/>
        <w:numPr>
          <w:ilvl w:val="0"/>
          <w:numId w:val="1"/>
        </w:numPr>
        <w:jc w:val="both"/>
        <w:rPr>
          <w:rFonts w:hint="default"/>
          <w:lang w:val="en-US" w:eastAsia="zh-CN"/>
        </w:rPr>
      </w:pPr>
      <w:r>
        <w:rPr>
          <w:rFonts w:hint="default"/>
          <w:lang w:val="en-US" w:eastAsia="zh-CN"/>
        </w:rPr>
        <w:t>王明昇. 氢能源汽车与纯电动汽车发展现状探究[J]. 内燃机与配件,2022(1):232-234. DOI:10.3969/j.issn.1674-957X.2022.01.075.</w:t>
      </w:r>
    </w:p>
    <w:p w14:paraId="68A6FC28">
      <w:pPr>
        <w:widowControl w:val="0"/>
        <w:numPr>
          <w:ilvl w:val="0"/>
          <w:numId w:val="1"/>
        </w:numPr>
        <w:jc w:val="both"/>
        <w:rPr>
          <w:rFonts w:hint="default"/>
          <w:lang w:val="en-US" w:eastAsia="zh-CN"/>
        </w:rPr>
      </w:pPr>
      <w:r>
        <w:rPr>
          <w:rFonts w:hint="default"/>
          <w:lang w:val="en-US" w:eastAsia="zh-CN"/>
        </w:rPr>
        <w:t>王丽,刘斌. 氢能源汽车的关键技术分析及对策探讨[J]. 工程研究-跨学科视野中的工程,2017,9(5):439-445. DOI:10.3724/SP.J.1224.2017.00439.</w:t>
      </w:r>
    </w:p>
    <w:p w14:paraId="5174F993">
      <w:pPr>
        <w:widowControl w:val="0"/>
        <w:numPr>
          <w:ilvl w:val="0"/>
          <w:numId w:val="1"/>
        </w:numPr>
        <w:jc w:val="both"/>
        <w:rPr>
          <w:rFonts w:hint="default"/>
          <w:lang w:val="en-US" w:eastAsia="zh-CN"/>
        </w:rPr>
      </w:pPr>
      <w:r>
        <w:rPr>
          <w:rFonts w:hint="default"/>
          <w:lang w:val="en-US" w:eastAsia="zh-CN"/>
        </w:rPr>
        <w:t>李政贤,杨辉,李一凡. 燃料电池汽车产业发展瓶颈及应对策略[J]. 商用汽车,2023(4):90-92. DOI:10.20042/j.cnki.1009-4903.2023.04.009.</w:t>
      </w:r>
    </w:p>
    <w:p w14:paraId="7D574ACB">
      <w:pPr>
        <w:widowControl w:val="0"/>
        <w:numPr>
          <w:ilvl w:val="0"/>
          <w:numId w:val="1"/>
        </w:numPr>
        <w:jc w:val="both"/>
        <w:rPr>
          <w:rFonts w:hint="default"/>
          <w:lang w:val="en-US" w:eastAsia="zh-CN"/>
        </w:rPr>
      </w:pPr>
      <w:r>
        <w:rPr>
          <w:rFonts w:hint="eastAsia"/>
          <w:lang w:val="en-US" w:eastAsia="zh-CN"/>
        </w:rPr>
        <w:t>邵志</w:t>
      </w:r>
      <w:r>
        <w:rPr>
          <w:rFonts w:hint="default"/>
          <w:lang w:val="en-US" w:eastAsia="zh-CN"/>
        </w:rPr>
        <w:t>刚</w:t>
      </w:r>
      <w:r>
        <w:rPr>
          <w:rFonts w:hint="eastAsia"/>
          <w:lang w:val="en-US" w:eastAsia="zh-CN"/>
        </w:rPr>
        <w:t>.</w:t>
      </w:r>
      <w:r>
        <w:rPr>
          <w:rFonts w:hint="default"/>
          <w:lang w:val="en-US" w:eastAsia="zh-CN"/>
        </w:rPr>
        <w:t>衣宝廉.(2019).氢能与燃料电池发展现状及展望.中国科学院院刊,34(04),469-477.DOI:10.16418/j.issn.1000-3045.2019.04.012.</w:t>
      </w:r>
    </w:p>
    <w:p w14:paraId="5ACC0BF2">
      <w:pPr>
        <w:widowControl w:val="0"/>
        <w:numPr>
          <w:ilvl w:val="0"/>
          <w:numId w:val="1"/>
        </w:numPr>
        <w:jc w:val="both"/>
        <w:rPr>
          <w:rFonts w:hint="default"/>
          <w:lang w:val="en-US" w:eastAsia="zh-CN"/>
        </w:rPr>
      </w:pPr>
      <w:r>
        <w:rPr>
          <w:rFonts w:hint="default"/>
          <w:lang w:val="en-US" w:eastAsia="zh-CN"/>
        </w:rPr>
        <w:t>冯文,王淑娟,倪维斗,郑显玉.(2003).燃料电池汽车氢能系统的环境、经济和能源评价.太阳能学报,24(03),394-400.</w:t>
      </w:r>
    </w:p>
    <w:p w14:paraId="4EA690E4">
      <w:pPr>
        <w:widowControl w:val="0"/>
        <w:numPr>
          <w:ilvl w:val="0"/>
          <w:numId w:val="1"/>
        </w:numPr>
        <w:jc w:val="both"/>
        <w:rPr>
          <w:rFonts w:hint="default"/>
          <w:lang w:val="en-US" w:eastAsia="zh-CN"/>
        </w:rPr>
      </w:pPr>
      <w:r>
        <w:rPr>
          <w:rFonts w:hint="default"/>
          <w:lang w:val="en-US" w:eastAsia="zh-CN"/>
        </w:rPr>
        <w:t>淄博市发展和改革委员会2023-05-08</w:t>
      </w:r>
      <w:r>
        <w:rPr>
          <w:rFonts w:hint="eastAsia"/>
          <w:lang w:val="en-US" w:eastAsia="zh-CN"/>
        </w:rPr>
        <w:t xml:space="preserve"> </w:t>
      </w:r>
      <w:r>
        <w:rPr>
          <w:rFonts w:hint="default"/>
          <w:lang w:val="en-US" w:eastAsia="zh-CN"/>
        </w:rPr>
        <w:t>《淄博市综合能源港布局专项规划（2023-2025年）》 政策解读</w:t>
      </w:r>
    </w:p>
    <w:p w14:paraId="0CBCEF57">
      <w:pPr>
        <w:widowControl w:val="0"/>
        <w:numPr>
          <w:ilvl w:val="0"/>
          <w:numId w:val="1"/>
        </w:numPr>
        <w:jc w:val="both"/>
        <w:rPr>
          <w:rFonts w:hint="default"/>
          <w:lang w:val="en-US" w:eastAsia="zh-CN"/>
        </w:rPr>
      </w:pPr>
      <w:r>
        <w:rPr>
          <w:rFonts w:hint="default"/>
          <w:lang w:val="en-US" w:eastAsia="zh-CN"/>
        </w:rPr>
        <w:t>张林海,丁学强,张新,等. 储氢技术研究现状及进展[J]. 中外能源,2024,29(4):17-27.</w:t>
      </w:r>
    </w:p>
    <w:p w14:paraId="4357CE19">
      <w:pPr>
        <w:widowControl w:val="0"/>
        <w:numPr>
          <w:ilvl w:val="0"/>
          <w:numId w:val="1"/>
        </w:numPr>
        <w:jc w:val="both"/>
        <w:rPr>
          <w:rFonts w:hint="default"/>
          <w:lang w:val="en-US" w:eastAsia="zh-CN"/>
        </w:rPr>
      </w:pPr>
      <w:r>
        <w:rPr>
          <w:rFonts w:hint="default"/>
          <w:lang w:val="en-US" w:eastAsia="zh-CN"/>
        </w:rPr>
        <w:t>高继,包忠峰,张宗辉,等. 燃料电池系统中氢气储存与输送技术的创新研究[J]. 流程工业,2024(5):16-18.</w:t>
      </w:r>
    </w:p>
    <w:p w14:paraId="52D127C1">
      <w:pPr>
        <w:widowControl w:val="0"/>
        <w:numPr>
          <w:ilvl w:val="0"/>
          <w:numId w:val="1"/>
        </w:numPr>
        <w:jc w:val="both"/>
        <w:rPr>
          <w:rFonts w:hint="default"/>
          <w:lang w:val="en-US" w:eastAsia="zh-CN"/>
        </w:rPr>
      </w:pPr>
      <w:r>
        <w:rPr>
          <w:rFonts w:hint="default"/>
          <w:lang w:val="en-US" w:eastAsia="zh-CN"/>
        </w:rPr>
        <w:t>王冉, 刘侃. 国内外氢能汽车发展现状及对我国未来氢能产业发展的思考[J]. 环境与可持续发展, 2022(3): 44-52. DOI:10.19758/j.cnki.issn1673-288x.2022203044.</w:t>
      </w:r>
    </w:p>
    <w:p w14:paraId="2351E68E">
      <w:pPr>
        <w:widowControl w:val="0"/>
        <w:numPr>
          <w:ilvl w:val="0"/>
          <w:numId w:val="0"/>
        </w:numPr>
        <w:jc w:val="both"/>
        <w:rPr>
          <w:rFonts w:hint="default"/>
          <w:lang w:val="en-US" w:eastAsia="zh-CN"/>
        </w:rPr>
      </w:pPr>
      <w:r>
        <w:rPr>
          <w:rFonts w:hint="eastAsia"/>
          <w:lang w:val="en-US" w:eastAsia="zh-CN"/>
        </w:rPr>
        <w:t xml:space="preserve">[21] </w:t>
      </w:r>
      <w:r>
        <w:rPr>
          <w:rFonts w:hint="default"/>
          <w:lang w:val="en-US" w:eastAsia="zh-CN"/>
        </w:rPr>
        <w:t>嘉兴市推动氢能产业发展财政补助实施细则. 嘉兴市人民政府.2022-01-01</w:t>
      </w:r>
    </w:p>
    <w:p w14:paraId="4C697B25">
      <w:pPr>
        <w:widowControl w:val="0"/>
        <w:numPr>
          <w:ilvl w:val="0"/>
          <w:numId w:val="0"/>
        </w:numPr>
        <w:jc w:val="both"/>
        <w:rPr>
          <w:rFonts w:hint="default"/>
          <w:lang w:val="en-US" w:eastAsia="zh-CN"/>
        </w:rPr>
      </w:pPr>
      <w:r>
        <w:rPr>
          <w:rFonts w:hint="eastAsia"/>
          <w:lang w:val="en-US" w:eastAsia="zh-CN"/>
        </w:rPr>
        <w:t xml:space="preserve">[22] </w:t>
      </w:r>
      <w:r>
        <w:rPr>
          <w:rFonts w:hint="default"/>
          <w:lang w:val="en-US" w:eastAsia="zh-CN"/>
        </w:rPr>
        <w:t>关于加快氢能和燃料电池汽车产业发展及示范应用的若干措施. 中国（上海）自由贸易试验区临港新片区管理委员会.2021-11-03</w:t>
      </w:r>
    </w:p>
    <w:p w14:paraId="4A3FCBB1">
      <w:pPr>
        <w:widowControl w:val="0"/>
        <w:numPr>
          <w:ilvl w:val="0"/>
          <w:numId w:val="0"/>
        </w:numPr>
        <w:jc w:val="both"/>
        <w:rPr>
          <w:rFonts w:hint="default"/>
          <w:lang w:val="en-US" w:eastAsia="zh-CN"/>
        </w:rPr>
      </w:pPr>
    </w:p>
    <w:p w14:paraId="0FBC8CD2">
      <w:pPr>
        <w:widowControl w:val="0"/>
        <w:numPr>
          <w:ilvl w:val="0"/>
          <w:numId w:val="0"/>
        </w:numPr>
        <w:jc w:val="both"/>
        <w:rPr>
          <w:rFonts w:hint="default"/>
          <w:lang w:val="en-US" w:eastAsia="zh-CN"/>
        </w:rPr>
      </w:pPr>
    </w:p>
    <w:p w14:paraId="0E2BBF72">
      <w:pPr>
        <w:widowControl w:val="0"/>
        <w:numPr>
          <w:ilvl w:val="0"/>
          <w:numId w:val="0"/>
        </w:numPr>
        <w:jc w:val="both"/>
        <w:rPr>
          <w:rFonts w:hint="default"/>
          <w:lang w:val="en-US" w:eastAsia="zh-CN"/>
        </w:rPr>
      </w:pPr>
    </w:p>
    <w:p w14:paraId="41D21721">
      <w:pPr>
        <w:widowControl w:val="0"/>
        <w:numPr>
          <w:ilvl w:val="0"/>
          <w:numId w:val="0"/>
        </w:numPr>
        <w:jc w:val="both"/>
        <w:rPr>
          <w:rFonts w:hint="default"/>
          <w:lang w:val="en-US" w:eastAsia="zh-CN"/>
        </w:rPr>
      </w:pPr>
    </w:p>
    <w:p w14:paraId="3C709AE4">
      <w:pPr>
        <w:widowControl w:val="0"/>
        <w:numPr>
          <w:ilvl w:val="0"/>
          <w:numId w:val="0"/>
        </w:numPr>
        <w:jc w:val="both"/>
        <w:rPr>
          <w:rFonts w:hint="default"/>
          <w:lang w:val="en-US" w:eastAsia="zh-CN"/>
        </w:rPr>
      </w:pPr>
    </w:p>
    <w:p w14:paraId="3E6151E8">
      <w:pPr>
        <w:widowControl w:val="0"/>
        <w:numPr>
          <w:ilvl w:val="0"/>
          <w:numId w:val="0"/>
        </w:numPr>
        <w:jc w:val="both"/>
        <w:rPr>
          <w:rFonts w:hint="default"/>
          <w:lang w:val="en-US" w:eastAsia="zh-CN"/>
        </w:rPr>
      </w:pPr>
    </w:p>
    <w:p w14:paraId="07B2AEA2">
      <w:pPr>
        <w:widowControl w:val="0"/>
        <w:numPr>
          <w:ilvl w:val="0"/>
          <w:numId w:val="0"/>
        </w:numPr>
        <w:jc w:val="both"/>
        <w:rPr>
          <w:rFonts w:hint="default"/>
          <w:lang w:val="en-US" w:eastAsia="zh-CN"/>
        </w:rPr>
      </w:pPr>
    </w:p>
    <w:p w14:paraId="4B76FF11">
      <w:pPr>
        <w:widowControl w:val="0"/>
        <w:numPr>
          <w:ilvl w:val="0"/>
          <w:numId w:val="0"/>
        </w:numPr>
        <w:jc w:val="both"/>
        <w:rPr>
          <w:rFonts w:hint="default"/>
          <w:lang w:val="en-US" w:eastAsia="zh-CN"/>
        </w:rPr>
      </w:pPr>
    </w:p>
    <w:p w14:paraId="3E27CC84">
      <w:pPr>
        <w:widowControl w:val="0"/>
        <w:numPr>
          <w:ilvl w:val="0"/>
          <w:numId w:val="0"/>
        </w:numPr>
        <w:jc w:val="both"/>
        <w:rPr>
          <w:rFonts w:hint="default"/>
          <w:lang w:val="en-US" w:eastAsia="zh-CN"/>
        </w:rPr>
      </w:pPr>
    </w:p>
    <w:p w14:paraId="526A8223">
      <w:pPr>
        <w:widowControl w:val="0"/>
        <w:numPr>
          <w:ilvl w:val="0"/>
          <w:numId w:val="0"/>
        </w:numPr>
        <w:jc w:val="both"/>
        <w:rPr>
          <w:rFonts w:hint="default"/>
          <w:lang w:val="en-US" w:eastAsia="zh-CN"/>
        </w:rPr>
      </w:pPr>
    </w:p>
    <w:p w14:paraId="2BD552E2">
      <w:pPr>
        <w:widowControl w:val="0"/>
        <w:numPr>
          <w:ilvl w:val="0"/>
          <w:numId w:val="0"/>
        </w:numPr>
        <w:jc w:val="both"/>
        <w:rPr>
          <w:rFonts w:hint="default"/>
          <w:lang w:val="en-US" w:eastAsia="zh-CN"/>
        </w:rPr>
      </w:pPr>
    </w:p>
    <w:p w14:paraId="29D9CEDA">
      <w:pPr>
        <w:widowControl w:val="0"/>
        <w:numPr>
          <w:ilvl w:val="0"/>
          <w:numId w:val="0"/>
        </w:numPr>
        <w:jc w:val="both"/>
        <w:rPr>
          <w:rFonts w:hint="default"/>
          <w:lang w:val="en-US" w:eastAsia="zh-CN"/>
        </w:rPr>
      </w:pPr>
    </w:p>
    <w:p w14:paraId="4106311E">
      <w:pPr>
        <w:widowControl w:val="0"/>
        <w:numPr>
          <w:ilvl w:val="0"/>
          <w:numId w:val="0"/>
        </w:numPr>
        <w:jc w:val="both"/>
        <w:rPr>
          <w:rFonts w:hint="default"/>
          <w:lang w:val="en-US" w:eastAsia="zh-CN"/>
        </w:rPr>
      </w:pPr>
    </w:p>
    <w:p w14:paraId="4ABAD9F6">
      <w:pPr>
        <w:widowControl w:val="0"/>
        <w:numPr>
          <w:ilvl w:val="0"/>
          <w:numId w:val="0"/>
        </w:numPr>
        <w:jc w:val="both"/>
        <w:rPr>
          <w:rFonts w:hint="default"/>
          <w:lang w:val="en-US" w:eastAsia="zh-CN"/>
        </w:rPr>
      </w:pPr>
    </w:p>
    <w:p w14:paraId="3E64114A">
      <w:pPr>
        <w:widowControl w:val="0"/>
        <w:numPr>
          <w:ilvl w:val="0"/>
          <w:numId w:val="0"/>
        </w:numPr>
        <w:jc w:val="both"/>
        <w:rPr>
          <w:rFonts w:hint="default"/>
          <w:lang w:val="en-US" w:eastAsia="zh-CN"/>
        </w:rPr>
      </w:pPr>
    </w:p>
    <w:p w14:paraId="708AC21E">
      <w:pPr>
        <w:widowControl/>
        <w:topLinePunct/>
        <w:spacing w:before="240" w:after="120"/>
        <w:jc w:val="center"/>
        <w:outlineLvl w:val="2"/>
        <w:rPr>
          <w:rFonts w:hint="eastAsia"/>
          <w:lang w:val="en-US" w:eastAsia="zh-CN"/>
        </w:rPr>
      </w:pPr>
      <w:bookmarkStart w:id="44" w:name="_Toc32126"/>
      <w:r>
        <w:rPr>
          <w:rFonts w:hint="eastAsia" w:ascii="黑体" w:hAnsi="Times New Roman" w:eastAsia="黑体" w:cs="Times New Roman"/>
          <w:bCs/>
          <w:sz w:val="28"/>
          <w:szCs w:val="28"/>
          <w:lang w:val="en-US" w:eastAsia="zh-CN"/>
        </w:rPr>
        <w:t>致谢</w:t>
      </w:r>
      <w:bookmarkEnd w:id="44"/>
    </w:p>
    <w:p w14:paraId="4EA1453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感谢耿振老师、金黎明老师一学期以来在《氢能科学与技术》公选课中的创新性教学指导。课程通过"虚拟仿真实验+案例研讨"的多元模式，带我们系统性探索氢能产业链核心技术：从质子交换膜燃料电池的流道优化设计，到70MPa高压储氢瓶碳纤维缠绕工艺仿真；从可再生能源电解水制氢效率分析，到加氢站安全防护与泄漏预警方案推演。在"氢能重卡运营经济性建模"小组课题中，我们运用TCO分析工具完成全生命周期成本测算，并通过头脑风暴提出"风光氢储一体化"调度算法改进方案。</w:t>
      </w:r>
    </w:p>
    <w:p w14:paraId="7BC0144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特别感谢课程设计的实践导向性——通过"</w:t>
      </w:r>
      <w:r>
        <w:rPr>
          <w:rFonts w:hint="eastAsia" w:cstheme="minorBidi"/>
          <w:kern w:val="2"/>
          <w:sz w:val="21"/>
          <w:szCs w:val="24"/>
          <w:lang w:val="en-US" w:eastAsia="zh-CN" w:bidi="ar-SA"/>
        </w:rPr>
        <w:t>上海燃料电池公司参观见习</w:t>
      </w:r>
      <w:r>
        <w:rPr>
          <w:rFonts w:hint="default" w:asciiTheme="minorHAnsi" w:hAnsiTheme="minorHAnsi" w:eastAsiaTheme="minorEastAsia" w:cstheme="minorBidi"/>
          <w:kern w:val="2"/>
          <w:sz w:val="21"/>
          <w:szCs w:val="24"/>
          <w:lang w:val="en-US" w:eastAsia="zh-CN" w:bidi="ar-SA"/>
        </w:rPr>
        <w:t>"，我们深入膜电极制备车间，</w:t>
      </w:r>
      <w:r>
        <w:rPr>
          <w:rFonts w:hint="eastAsia" w:cstheme="minorBidi"/>
          <w:kern w:val="2"/>
          <w:sz w:val="21"/>
          <w:szCs w:val="24"/>
          <w:lang w:val="en-US" w:eastAsia="zh-CN" w:bidi="ar-SA"/>
        </w:rPr>
        <w:t>认识到了</w:t>
      </w:r>
      <w:r>
        <w:rPr>
          <w:rFonts w:hint="default" w:asciiTheme="minorHAnsi" w:hAnsiTheme="minorHAnsi" w:eastAsiaTheme="minorEastAsia" w:cstheme="minorBidi"/>
          <w:kern w:val="2"/>
          <w:sz w:val="21"/>
          <w:szCs w:val="24"/>
          <w:lang w:val="en-US" w:eastAsia="zh-CN" w:bidi="ar-SA"/>
        </w:rPr>
        <w:t>催化剂浆料涂覆工艺参数对Pt载量分布的影响规律，</w:t>
      </w:r>
      <w:r>
        <w:rPr>
          <w:rFonts w:hint="eastAsia" w:cstheme="minorBidi"/>
          <w:kern w:val="2"/>
          <w:sz w:val="21"/>
          <w:szCs w:val="24"/>
          <w:lang w:val="en-US" w:eastAsia="zh-CN" w:bidi="ar-SA"/>
        </w:rPr>
        <w:t>也通过耿老师的讲解，知晓</w:t>
      </w:r>
      <w:r>
        <w:rPr>
          <w:rFonts w:hint="default" w:asciiTheme="minorHAnsi" w:hAnsiTheme="minorHAnsi" w:eastAsiaTheme="minorEastAsia" w:cstheme="minorBidi"/>
          <w:kern w:val="2"/>
          <w:sz w:val="21"/>
          <w:szCs w:val="24"/>
          <w:lang w:val="en-US" w:eastAsia="zh-CN" w:bidi="ar-SA"/>
        </w:rPr>
        <w:t>了梯度化疏水层设计与传统均质膜电极的水管理性能差异</w:t>
      </w:r>
      <w:r>
        <w:rPr>
          <w:rFonts w:hint="eastAsia" w:cstheme="minorBidi"/>
          <w:kern w:val="2"/>
          <w:sz w:val="21"/>
          <w:szCs w:val="24"/>
          <w:lang w:val="en-US" w:eastAsia="zh-CN" w:bidi="ar-SA"/>
        </w:rPr>
        <w:t>。在双极板加工工段，工程师现场演示病让我们触摸到了双极板（虽然有同学不慎掰碎了），让我们更精细地认识到了燃料电池的相关器件。参观热失控实验室，我们认识到了燃料电池的工作温度，并且了解到燃料电池安全性评估的电流——电压特性曲线思路。</w:t>
      </w:r>
    </w:p>
    <w:p w14:paraId="2B769BA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jc w:val="center"/>
        <w:textAlignment w:val="baseline"/>
        <w:rPr>
          <w:rFonts w:hint="eastAsia" w:cstheme="minorBidi"/>
          <w:kern w:val="2"/>
          <w:sz w:val="21"/>
          <w:szCs w:val="24"/>
          <w:lang w:val="en-US" w:eastAsia="zh-CN" w:bidi="ar-SA"/>
        </w:rPr>
      </w:pPr>
      <w:r>
        <w:rPr>
          <w:rFonts w:hint="eastAsia" w:cstheme="minorBidi"/>
          <w:kern w:val="2"/>
          <w:sz w:val="21"/>
          <w:szCs w:val="24"/>
          <w:lang w:val="en-US" w:eastAsia="zh-CN" w:bidi="ar-SA"/>
        </w:rPr>
        <w:drawing>
          <wp:anchor distT="0" distB="0" distL="114300" distR="114300" simplePos="0" relativeHeight="251660288" behindDoc="0" locked="0" layoutInCell="1" allowOverlap="1">
            <wp:simplePos x="0" y="0"/>
            <wp:positionH relativeFrom="column">
              <wp:posOffset>266065</wp:posOffset>
            </wp:positionH>
            <wp:positionV relativeFrom="paragraph">
              <wp:posOffset>59055</wp:posOffset>
            </wp:positionV>
            <wp:extent cx="1969770" cy="1477010"/>
            <wp:effectExtent l="0" t="0" r="1905" b="8890"/>
            <wp:wrapSquare wrapText="bothSides"/>
            <wp:docPr id="2" name="图片 2" descr="016209d0384b0a6930540913bd9f5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16209d0384b0a6930540913bd9f5b8"/>
                    <pic:cNvPicPr>
                      <a:picLocks noChangeAspect="1"/>
                    </pic:cNvPicPr>
                  </pic:nvPicPr>
                  <pic:blipFill>
                    <a:blip r:embed="rId30"/>
                    <a:stretch>
                      <a:fillRect/>
                    </a:stretch>
                  </pic:blipFill>
                  <pic:spPr>
                    <a:xfrm>
                      <a:off x="0" y="0"/>
                      <a:ext cx="1969770" cy="1477010"/>
                    </a:xfrm>
                    <a:prstGeom prst="rect">
                      <a:avLst/>
                    </a:prstGeom>
                  </pic:spPr>
                </pic:pic>
              </a:graphicData>
            </a:graphic>
          </wp:anchor>
        </w:drawing>
      </w:r>
      <w:r>
        <w:rPr>
          <w:rFonts w:hint="eastAsia" w:cstheme="minorBidi"/>
          <w:kern w:val="2"/>
          <w:sz w:val="21"/>
          <w:szCs w:val="24"/>
          <w:lang w:val="en-US" w:eastAsia="zh-CN" w:bidi="ar-SA"/>
        </w:rPr>
        <w:drawing>
          <wp:anchor distT="0" distB="0" distL="114300" distR="114300" simplePos="0" relativeHeight="251661312" behindDoc="0" locked="0" layoutInCell="1" allowOverlap="1">
            <wp:simplePos x="0" y="0"/>
            <wp:positionH relativeFrom="column">
              <wp:posOffset>2747645</wp:posOffset>
            </wp:positionH>
            <wp:positionV relativeFrom="paragraph">
              <wp:posOffset>46990</wp:posOffset>
            </wp:positionV>
            <wp:extent cx="1998980" cy="1499235"/>
            <wp:effectExtent l="0" t="0" r="1270" b="5715"/>
            <wp:wrapSquare wrapText="bothSides"/>
            <wp:docPr id="1" name="图片 1" descr="58ad34950d3dd86ad8faa720936aa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8ad34950d3dd86ad8faa720936aad9"/>
                    <pic:cNvPicPr>
                      <a:picLocks noChangeAspect="1"/>
                    </pic:cNvPicPr>
                  </pic:nvPicPr>
                  <pic:blipFill>
                    <a:blip r:embed="rId31"/>
                    <a:stretch>
                      <a:fillRect/>
                    </a:stretch>
                  </pic:blipFill>
                  <pic:spPr>
                    <a:xfrm>
                      <a:off x="0" y="0"/>
                      <a:ext cx="1998980" cy="1499235"/>
                    </a:xfrm>
                    <a:prstGeom prst="rect">
                      <a:avLst/>
                    </a:prstGeom>
                  </pic:spPr>
                </pic:pic>
              </a:graphicData>
            </a:graphic>
          </wp:anchor>
        </w:drawing>
      </w:r>
    </w:p>
    <w:p w14:paraId="024BB97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cstheme="minorBidi"/>
          <w:kern w:val="2"/>
          <w:sz w:val="21"/>
          <w:szCs w:val="24"/>
          <w:lang w:val="en-US" w:eastAsia="zh-CN" w:bidi="ar-SA"/>
        </w:rPr>
      </w:pPr>
    </w:p>
    <w:p w14:paraId="166A12A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textAlignment w:val="baseline"/>
        <w:rPr>
          <w:rFonts w:hint="default" w:asciiTheme="minorHAnsi" w:hAnsiTheme="minorHAnsi" w:eastAsiaTheme="minorEastAsia" w:cstheme="minorBidi"/>
          <w:kern w:val="2"/>
          <w:sz w:val="21"/>
          <w:szCs w:val="24"/>
          <w:lang w:val="en-US" w:eastAsia="zh-CN" w:bidi="ar-SA"/>
        </w:rPr>
      </w:pPr>
    </w:p>
    <w:p w14:paraId="5EE3DEE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p>
    <w:p w14:paraId="7CB466F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bookmarkStart w:id="45" w:name="_GoBack"/>
      <w:bookmarkEnd w:id="45"/>
    </w:p>
    <w:p w14:paraId="700454E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CFCFC"/>
        <w:ind w:left="0" w:firstLine="420" w:firstLineChars="0"/>
        <w:textAlignment w:val="baseline"/>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段学习经历不仅让我们认识到氢能在交通、化工等领域的变革潜力，更深刻理解了"绿氢制备-智慧储运-终端应用"的系统性创新逻辑。再次感谢两位老师以渊博学识和前瞻视野，为我们打开新能源技术的大门，这段课程将成为我们参与碳中和实践的重要认知基石。</w:t>
      </w:r>
    </w:p>
    <w:p w14:paraId="51143DFA">
      <w:pPr>
        <w:widowControl w:val="0"/>
        <w:numPr>
          <w:ilvl w:val="0"/>
          <w:numId w:val="0"/>
        </w:numPr>
        <w:ind w:firstLine="420" w:firstLineChars="0"/>
        <w:jc w:val="both"/>
        <w:rPr>
          <w:rFonts w:hint="default"/>
          <w:lang w:val="en-US" w:eastAsia="zh-CN"/>
        </w:rPr>
      </w:pPr>
    </w:p>
    <w:p w14:paraId="03D41F1F">
      <w:pPr>
        <w:widowControl w:val="0"/>
        <w:numPr>
          <w:ilvl w:val="0"/>
          <w:numId w:val="0"/>
        </w:numPr>
        <w:ind w:left="5040" w:leftChars="0" w:firstLine="420" w:firstLineChars="0"/>
        <w:jc w:val="both"/>
        <w:rPr>
          <w:rFonts w:hint="eastAsia"/>
          <w:lang w:val="en-US" w:eastAsia="zh-CN"/>
        </w:rPr>
      </w:pPr>
      <w:r>
        <w:rPr>
          <w:rFonts w:hint="eastAsia"/>
          <w:lang w:val="en-US" w:eastAsia="zh-CN"/>
        </w:rPr>
        <w:t>您的学生：张恒祯</w:t>
      </w:r>
    </w:p>
    <w:p w14:paraId="7739A989">
      <w:pPr>
        <w:widowControl w:val="0"/>
        <w:numPr>
          <w:ilvl w:val="0"/>
          <w:numId w:val="0"/>
        </w:numPr>
        <w:ind w:left="5460" w:leftChars="0" w:firstLine="420" w:firstLineChars="0"/>
        <w:jc w:val="both"/>
        <w:rPr>
          <w:rFonts w:hint="default"/>
          <w:lang w:val="en-US" w:eastAsia="zh-CN"/>
        </w:rPr>
      </w:pPr>
      <w:r>
        <w:rPr>
          <w:rFonts w:hint="eastAsia"/>
          <w:lang w:val="en-US" w:eastAsia="zh-CN"/>
        </w:rPr>
        <w:t>2025.6.1</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6DFE92"/>
    <w:multiLevelType w:val="singleLevel"/>
    <w:tmpl w:val="356DFE9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22B2C"/>
    <w:rsid w:val="05292BAD"/>
    <w:rsid w:val="06271643"/>
    <w:rsid w:val="071C358B"/>
    <w:rsid w:val="096B66D9"/>
    <w:rsid w:val="0C1F5BEC"/>
    <w:rsid w:val="0CD455B4"/>
    <w:rsid w:val="10D61ACC"/>
    <w:rsid w:val="13DA7A94"/>
    <w:rsid w:val="15B94564"/>
    <w:rsid w:val="174B1BE9"/>
    <w:rsid w:val="18A34147"/>
    <w:rsid w:val="1F9E1B18"/>
    <w:rsid w:val="23F553F2"/>
    <w:rsid w:val="241042E1"/>
    <w:rsid w:val="2CD16667"/>
    <w:rsid w:val="31602A89"/>
    <w:rsid w:val="4731064C"/>
    <w:rsid w:val="477227AF"/>
    <w:rsid w:val="4A1365E7"/>
    <w:rsid w:val="4A424536"/>
    <w:rsid w:val="4C6843DB"/>
    <w:rsid w:val="4FAC3C5C"/>
    <w:rsid w:val="54A35BFD"/>
    <w:rsid w:val="55290885"/>
    <w:rsid w:val="587F3F7C"/>
    <w:rsid w:val="6110094E"/>
    <w:rsid w:val="61C45830"/>
    <w:rsid w:val="641513E6"/>
    <w:rsid w:val="691971DA"/>
    <w:rsid w:val="70A93B45"/>
    <w:rsid w:val="75624C40"/>
    <w:rsid w:val="7B1F5E6F"/>
    <w:rsid w:val="7E1F48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4">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2"/>
    <w:basedOn w:val="1"/>
    <w:next w:val="1"/>
    <w:qFormat/>
    <w:uiPriority w:val="0"/>
    <w:pPr>
      <w:ind w:left="420" w:leftChars="200"/>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Emphasis"/>
    <w:basedOn w:val="9"/>
    <w:qFormat/>
    <w:uiPriority w:val="0"/>
    <w:rPr>
      <w:i/>
    </w:rPr>
  </w:style>
  <w:style w:type="character" w:styleId="12">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5403</Words>
  <Characters>7012</Characters>
  <Lines>0</Lines>
  <Paragraphs>0</Paragraphs>
  <TotalTime>8</TotalTime>
  <ScaleCrop>false</ScaleCrop>
  <LinksUpToDate>false</LinksUpToDate>
  <CharactersWithSpaces>7257</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2025-02-28T07:58:00Z</dcterms:created>
  <dc:creator>18012</dc:creator>
  <cp:lastModifiedBy>张恒祯</cp:lastModifiedBy>
  <dcterms:modified xsi:type="dcterms:W3CDTF">2025-05-15T12:14:52Z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eyJoZGlkIjoiOGIzNmNmZWZmNGE5ZWQyNDIyODdjMGE1ZTY1MTE3ZTQiLCJ1c2VySWQiOiI4NjA3NDE4ODkifQ==</vt:lpwstr>
  </property>
  <property fmtid="{D5CDD505-2E9C-101B-9397-08002B2CF9AE}" pid="4" name="ICV">
    <vt:lpwstr>1E769A84373E4DA7AC52BB1EB1F50E8A_12</vt:lpwstr>
  </property>
</Properties>
</file>